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B0DD9" w14:textId="6FC114E6" w:rsidR="00B56004" w:rsidRDefault="00B56004" w:rsidP="00792B18">
      <w:pPr>
        <w:pStyle w:val="NoSpacing"/>
      </w:pPr>
      <w:r w:rsidRPr="00B56004">
        <w:t xml:space="preserve">RFQ Update: </w:t>
      </w:r>
    </w:p>
    <w:p w14:paraId="17B8FE38" w14:textId="77777777" w:rsidR="00B56004" w:rsidRPr="00B56004" w:rsidRDefault="00B56004" w:rsidP="00B56004">
      <w:pPr>
        <w:rPr>
          <w:b/>
          <w:bCs/>
        </w:rPr>
      </w:pPr>
    </w:p>
    <w:p w14:paraId="1DDEF3F0" w14:textId="77777777" w:rsidR="00B56004" w:rsidRPr="00B56004" w:rsidRDefault="00B56004" w:rsidP="00B56004">
      <w:pPr>
        <w:jc w:val="both"/>
        <w:rPr>
          <w:rFonts w:ascii="Calibri" w:hAnsi="Calibri" w:cs="Calibri"/>
          <w:b/>
          <w:bCs/>
          <w:sz w:val="22"/>
          <w:szCs w:val="22"/>
          <w:u w:val="single"/>
        </w:rPr>
      </w:pPr>
      <w:r w:rsidRPr="00B56004">
        <w:rPr>
          <w:rFonts w:ascii="Calibri" w:hAnsi="Calibri" w:cs="Calibri"/>
          <w:sz w:val="22"/>
          <w:szCs w:val="22"/>
        </w:rPr>
        <w:t xml:space="preserve">The following Workers Compensation Codes have been added due to expansion of interns and worksites.  In general, there may only be 1 or 2 individuals placed in each of these codes.  Bidders may want to consider these codes in determining cost in the “other” category either individually listing </w:t>
      </w:r>
      <w:proofErr w:type="gramStart"/>
      <w:r w:rsidRPr="00B56004">
        <w:rPr>
          <w:rFonts w:ascii="Calibri" w:hAnsi="Calibri" w:cs="Calibri"/>
          <w:sz w:val="22"/>
          <w:szCs w:val="22"/>
        </w:rPr>
        <w:t>or as a whole</w:t>
      </w:r>
      <w:proofErr w:type="gramEnd"/>
      <w:r w:rsidRPr="00B56004">
        <w:rPr>
          <w:rFonts w:ascii="Calibri" w:hAnsi="Calibri" w:cs="Calibri"/>
          <w:sz w:val="22"/>
          <w:szCs w:val="22"/>
        </w:rPr>
        <w:t>.  Bidders should also advise if any of these codes are not allowed or restricted to 18 or older under your hiring structure. Please note that as stated in the RFQ additional codes may be added as needed with approval of the EOR.   </w:t>
      </w:r>
      <w:r w:rsidRPr="00B56004">
        <w:rPr>
          <w:rFonts w:ascii="Calibri" w:hAnsi="Calibri" w:cs="Calibri"/>
          <w:b/>
          <w:bCs/>
          <w:sz w:val="22"/>
          <w:szCs w:val="22"/>
          <w:u w:val="single"/>
        </w:rPr>
        <w:t>Also, please note 8808 Retail Store listed in the RFP should have been 8008 as indicated below.  We apologize for the typographical error.</w:t>
      </w:r>
    </w:p>
    <w:p w14:paraId="0D410AFE" w14:textId="77777777" w:rsidR="00B56004" w:rsidRPr="00B56004" w:rsidRDefault="00B56004" w:rsidP="00B56004">
      <w:pPr>
        <w:rPr>
          <w:rFonts w:ascii="Calibri" w:hAnsi="Calibri" w:cs="Calibri"/>
          <w:sz w:val="22"/>
          <w:szCs w:val="22"/>
          <w:u w:val="single"/>
        </w:rPr>
      </w:pPr>
    </w:p>
    <w:p w14:paraId="134F6CB8" w14:textId="77777777" w:rsidR="00B56004" w:rsidRPr="00B56004" w:rsidRDefault="00B56004" w:rsidP="00B56004">
      <w:pPr>
        <w:ind w:left="720"/>
        <w:rPr>
          <w:rFonts w:ascii="Calibri" w:hAnsi="Calibri" w:cs="Calibri"/>
          <w:sz w:val="22"/>
          <w:szCs w:val="22"/>
          <w:u w:val="single"/>
        </w:rPr>
      </w:pPr>
    </w:p>
    <w:tbl>
      <w:tblPr>
        <w:tblpPr w:vertAnchor="text"/>
        <w:tblW w:w="0" w:type="auto"/>
        <w:tblCellMar>
          <w:left w:w="0" w:type="dxa"/>
          <w:right w:w="0" w:type="dxa"/>
        </w:tblCellMar>
        <w:tblLook w:val="04A0" w:firstRow="1" w:lastRow="0" w:firstColumn="1" w:lastColumn="0" w:noHBand="0" w:noVBand="1"/>
      </w:tblPr>
      <w:tblGrid>
        <w:gridCol w:w="1014"/>
        <w:gridCol w:w="7470"/>
      </w:tblGrid>
      <w:tr w:rsidR="00B56004" w:rsidRPr="00B56004" w14:paraId="4E315B35" w14:textId="77777777" w:rsidTr="00B56004">
        <w:tc>
          <w:tcPr>
            <w:tcW w:w="10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0A9C64" w14:textId="77777777" w:rsidR="00B56004" w:rsidRPr="00B56004" w:rsidRDefault="00B56004">
            <w:pPr>
              <w:rPr>
                <w:rFonts w:ascii="Calibri" w:hAnsi="Calibri" w:cs="Calibri"/>
                <w:sz w:val="22"/>
                <w:szCs w:val="22"/>
              </w:rPr>
            </w:pPr>
            <w:r w:rsidRPr="00B56004">
              <w:rPr>
                <w:rFonts w:ascii="Calibri" w:hAnsi="Calibri" w:cs="Calibri"/>
                <w:sz w:val="22"/>
                <w:szCs w:val="22"/>
              </w:rPr>
              <w:t>Code</w:t>
            </w:r>
          </w:p>
        </w:tc>
        <w:tc>
          <w:tcPr>
            <w:tcW w:w="7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1EA874" w14:textId="77777777" w:rsidR="00B56004" w:rsidRPr="00B56004" w:rsidRDefault="00B56004">
            <w:pPr>
              <w:rPr>
                <w:rFonts w:ascii="Calibri" w:hAnsi="Calibri" w:cs="Calibri"/>
                <w:sz w:val="22"/>
                <w:szCs w:val="22"/>
              </w:rPr>
            </w:pPr>
            <w:r w:rsidRPr="00B56004">
              <w:rPr>
                <w:rFonts w:ascii="Calibri" w:hAnsi="Calibri" w:cs="Calibri"/>
                <w:sz w:val="22"/>
                <w:szCs w:val="22"/>
              </w:rPr>
              <w:t>Description</w:t>
            </w:r>
          </w:p>
        </w:tc>
      </w:tr>
      <w:tr w:rsidR="00B56004" w:rsidRPr="00B56004" w14:paraId="2489C65D" w14:textId="77777777" w:rsidTr="00B56004">
        <w:tc>
          <w:tcPr>
            <w:tcW w:w="1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4DDC3" w14:textId="77777777" w:rsidR="00B56004" w:rsidRPr="00B56004" w:rsidRDefault="00B56004">
            <w:pPr>
              <w:rPr>
                <w:rFonts w:ascii="Calibri" w:hAnsi="Calibri" w:cs="Calibri"/>
                <w:b/>
                <w:bCs/>
                <w:sz w:val="22"/>
                <w:szCs w:val="22"/>
              </w:rPr>
            </w:pPr>
            <w:r w:rsidRPr="00B56004">
              <w:rPr>
                <w:rFonts w:ascii="Calibri" w:hAnsi="Calibri" w:cs="Calibri"/>
                <w:b/>
                <w:bCs/>
                <w:sz w:val="22"/>
                <w:szCs w:val="22"/>
              </w:rPr>
              <w:t>8008</w:t>
            </w:r>
          </w:p>
        </w:tc>
        <w:tc>
          <w:tcPr>
            <w:tcW w:w="7470" w:type="dxa"/>
            <w:tcBorders>
              <w:top w:val="nil"/>
              <w:left w:val="nil"/>
              <w:bottom w:val="single" w:sz="8" w:space="0" w:color="auto"/>
              <w:right w:val="single" w:sz="8" w:space="0" w:color="auto"/>
            </w:tcBorders>
            <w:tcMar>
              <w:top w:w="0" w:type="dxa"/>
              <w:left w:w="108" w:type="dxa"/>
              <w:bottom w:w="0" w:type="dxa"/>
              <w:right w:w="108" w:type="dxa"/>
            </w:tcMar>
            <w:hideMark/>
          </w:tcPr>
          <w:p w14:paraId="423C760E" w14:textId="77777777" w:rsidR="00B56004" w:rsidRPr="00B56004" w:rsidRDefault="00B56004">
            <w:pPr>
              <w:rPr>
                <w:rFonts w:ascii="Calibri" w:hAnsi="Calibri" w:cs="Calibri"/>
                <w:b/>
                <w:bCs/>
                <w:sz w:val="22"/>
                <w:szCs w:val="22"/>
              </w:rPr>
            </w:pPr>
            <w:r w:rsidRPr="00B56004">
              <w:rPr>
                <w:rFonts w:ascii="Calibri" w:hAnsi="Calibri" w:cs="Calibri"/>
                <w:b/>
                <w:bCs/>
                <w:sz w:val="22"/>
                <w:szCs w:val="22"/>
              </w:rPr>
              <w:t>Store: Clothing, Apparel, Dry Goods</w:t>
            </w:r>
          </w:p>
        </w:tc>
      </w:tr>
      <w:tr w:rsidR="00B56004" w:rsidRPr="00B56004" w14:paraId="36664BA4" w14:textId="77777777" w:rsidTr="00B56004">
        <w:tc>
          <w:tcPr>
            <w:tcW w:w="1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B9801" w14:textId="77777777" w:rsidR="00B56004" w:rsidRPr="00B56004" w:rsidRDefault="00B56004">
            <w:pPr>
              <w:rPr>
                <w:rFonts w:ascii="Calibri" w:hAnsi="Calibri" w:cs="Calibri"/>
                <w:sz w:val="22"/>
                <w:szCs w:val="22"/>
              </w:rPr>
            </w:pPr>
            <w:r w:rsidRPr="00B56004">
              <w:rPr>
                <w:rFonts w:ascii="Calibri" w:hAnsi="Calibri" w:cs="Calibri"/>
                <w:sz w:val="22"/>
                <w:szCs w:val="22"/>
              </w:rPr>
              <w:t>8824</w:t>
            </w:r>
          </w:p>
        </w:tc>
        <w:tc>
          <w:tcPr>
            <w:tcW w:w="7470" w:type="dxa"/>
            <w:tcBorders>
              <w:top w:val="nil"/>
              <w:left w:val="nil"/>
              <w:bottom w:val="single" w:sz="8" w:space="0" w:color="auto"/>
              <w:right w:val="single" w:sz="8" w:space="0" w:color="auto"/>
            </w:tcBorders>
            <w:tcMar>
              <w:top w:w="0" w:type="dxa"/>
              <w:left w:w="108" w:type="dxa"/>
              <w:bottom w:w="0" w:type="dxa"/>
              <w:right w:w="108" w:type="dxa"/>
            </w:tcMar>
            <w:hideMark/>
          </w:tcPr>
          <w:p w14:paraId="0A533D60" w14:textId="77777777" w:rsidR="00B56004" w:rsidRPr="00B56004" w:rsidRDefault="00B56004">
            <w:pPr>
              <w:rPr>
                <w:rFonts w:ascii="Calibri" w:hAnsi="Calibri" w:cs="Calibri"/>
                <w:sz w:val="22"/>
                <w:szCs w:val="22"/>
              </w:rPr>
            </w:pPr>
            <w:r w:rsidRPr="00B56004">
              <w:rPr>
                <w:rFonts w:ascii="Calibri" w:hAnsi="Calibri" w:cs="Calibri"/>
                <w:sz w:val="22"/>
                <w:szCs w:val="22"/>
              </w:rPr>
              <w:t>Personal Care to the Aged (Assisted Living Facility</w:t>
            </w:r>
          </w:p>
        </w:tc>
      </w:tr>
      <w:tr w:rsidR="00B56004" w:rsidRPr="00B56004" w14:paraId="53BC299C" w14:textId="77777777" w:rsidTr="00B56004">
        <w:tc>
          <w:tcPr>
            <w:tcW w:w="1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09C29" w14:textId="77777777" w:rsidR="00B56004" w:rsidRPr="00B56004" w:rsidRDefault="00B56004">
            <w:pPr>
              <w:rPr>
                <w:rFonts w:ascii="Calibri" w:hAnsi="Calibri" w:cs="Calibri"/>
                <w:sz w:val="22"/>
                <w:szCs w:val="22"/>
              </w:rPr>
            </w:pPr>
            <w:r w:rsidRPr="00B56004">
              <w:rPr>
                <w:rFonts w:ascii="Calibri" w:hAnsi="Calibri" w:cs="Calibri"/>
                <w:sz w:val="22"/>
                <w:szCs w:val="22"/>
              </w:rPr>
              <w:t>8869</w:t>
            </w:r>
          </w:p>
        </w:tc>
        <w:tc>
          <w:tcPr>
            <w:tcW w:w="7470" w:type="dxa"/>
            <w:tcBorders>
              <w:top w:val="nil"/>
              <w:left w:val="nil"/>
              <w:bottom w:val="single" w:sz="8" w:space="0" w:color="auto"/>
              <w:right w:val="single" w:sz="8" w:space="0" w:color="auto"/>
            </w:tcBorders>
            <w:tcMar>
              <w:top w:w="0" w:type="dxa"/>
              <w:left w:w="108" w:type="dxa"/>
              <w:bottom w:w="0" w:type="dxa"/>
              <w:right w:w="108" w:type="dxa"/>
            </w:tcMar>
            <w:hideMark/>
          </w:tcPr>
          <w:p w14:paraId="3423929C" w14:textId="77777777" w:rsidR="00B56004" w:rsidRPr="00B56004" w:rsidRDefault="00B56004">
            <w:pPr>
              <w:rPr>
                <w:rFonts w:ascii="Calibri" w:hAnsi="Calibri" w:cs="Calibri"/>
                <w:sz w:val="22"/>
                <w:szCs w:val="22"/>
              </w:rPr>
            </w:pPr>
            <w:r w:rsidRPr="00B56004">
              <w:rPr>
                <w:rFonts w:ascii="Calibri" w:hAnsi="Calibri" w:cs="Calibri"/>
                <w:sz w:val="22"/>
                <w:szCs w:val="22"/>
              </w:rPr>
              <w:t>Child Day Camp Employees (Camp Counselor)</w:t>
            </w:r>
          </w:p>
        </w:tc>
      </w:tr>
      <w:tr w:rsidR="00B56004" w:rsidRPr="00B56004" w14:paraId="0A557185" w14:textId="77777777" w:rsidTr="00B56004">
        <w:tc>
          <w:tcPr>
            <w:tcW w:w="1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535B0" w14:textId="77777777" w:rsidR="00B56004" w:rsidRPr="00B56004" w:rsidRDefault="00B56004">
            <w:pPr>
              <w:rPr>
                <w:rFonts w:ascii="Calibri" w:hAnsi="Calibri" w:cs="Calibri"/>
                <w:sz w:val="22"/>
                <w:szCs w:val="22"/>
              </w:rPr>
            </w:pPr>
            <w:r w:rsidRPr="00B56004">
              <w:rPr>
                <w:rFonts w:ascii="Calibri" w:hAnsi="Calibri" w:cs="Calibri"/>
                <w:sz w:val="22"/>
                <w:szCs w:val="22"/>
              </w:rPr>
              <w:t>8831</w:t>
            </w:r>
          </w:p>
        </w:tc>
        <w:tc>
          <w:tcPr>
            <w:tcW w:w="7470" w:type="dxa"/>
            <w:tcBorders>
              <w:top w:val="nil"/>
              <w:left w:val="nil"/>
              <w:bottom w:val="single" w:sz="8" w:space="0" w:color="auto"/>
              <w:right w:val="single" w:sz="8" w:space="0" w:color="auto"/>
            </w:tcBorders>
            <w:tcMar>
              <w:top w:w="0" w:type="dxa"/>
              <w:left w:w="108" w:type="dxa"/>
              <w:bottom w:w="0" w:type="dxa"/>
              <w:right w:w="108" w:type="dxa"/>
            </w:tcMar>
            <w:hideMark/>
          </w:tcPr>
          <w:p w14:paraId="1B398FFC" w14:textId="77777777" w:rsidR="00B56004" w:rsidRPr="00B56004" w:rsidRDefault="00B56004">
            <w:pPr>
              <w:rPr>
                <w:rFonts w:ascii="Calibri" w:hAnsi="Calibri" w:cs="Calibri"/>
                <w:sz w:val="22"/>
                <w:szCs w:val="22"/>
              </w:rPr>
            </w:pPr>
            <w:r w:rsidRPr="00B56004">
              <w:rPr>
                <w:rFonts w:ascii="Calibri" w:hAnsi="Calibri" w:cs="Calibri"/>
                <w:sz w:val="22"/>
                <w:szCs w:val="22"/>
              </w:rPr>
              <w:t>All Employees of Veterinary Hospital and Pet Grooming (Vet Assistant)</w:t>
            </w:r>
          </w:p>
        </w:tc>
      </w:tr>
      <w:tr w:rsidR="00B56004" w:rsidRPr="00B56004" w14:paraId="396E51FF" w14:textId="77777777" w:rsidTr="00B56004">
        <w:tc>
          <w:tcPr>
            <w:tcW w:w="1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0ACEC" w14:textId="77777777" w:rsidR="00B56004" w:rsidRPr="00B56004" w:rsidRDefault="00B56004">
            <w:pPr>
              <w:rPr>
                <w:rFonts w:ascii="Calibri" w:hAnsi="Calibri" w:cs="Calibri"/>
                <w:sz w:val="22"/>
                <w:szCs w:val="22"/>
              </w:rPr>
            </w:pPr>
            <w:r w:rsidRPr="00B56004">
              <w:rPr>
                <w:rFonts w:ascii="Calibri" w:hAnsi="Calibri" w:cs="Calibri"/>
                <w:sz w:val="22"/>
                <w:szCs w:val="22"/>
              </w:rPr>
              <w:t>8380</w:t>
            </w:r>
          </w:p>
        </w:tc>
        <w:tc>
          <w:tcPr>
            <w:tcW w:w="7470" w:type="dxa"/>
            <w:tcBorders>
              <w:top w:val="nil"/>
              <w:left w:val="nil"/>
              <w:bottom w:val="single" w:sz="8" w:space="0" w:color="auto"/>
              <w:right w:val="single" w:sz="8" w:space="0" w:color="auto"/>
            </w:tcBorders>
            <w:tcMar>
              <w:top w:w="0" w:type="dxa"/>
              <w:left w:w="108" w:type="dxa"/>
              <w:bottom w:w="0" w:type="dxa"/>
              <w:right w:w="108" w:type="dxa"/>
            </w:tcMar>
            <w:hideMark/>
          </w:tcPr>
          <w:p w14:paraId="4E2696A7" w14:textId="77777777" w:rsidR="00B56004" w:rsidRPr="00B56004" w:rsidRDefault="00B56004">
            <w:pPr>
              <w:rPr>
                <w:rFonts w:ascii="Calibri" w:hAnsi="Calibri" w:cs="Calibri"/>
                <w:sz w:val="22"/>
                <w:szCs w:val="22"/>
              </w:rPr>
            </w:pPr>
            <w:r w:rsidRPr="00B56004">
              <w:rPr>
                <w:rFonts w:ascii="Calibri" w:hAnsi="Calibri" w:cs="Calibri"/>
                <w:sz w:val="22"/>
                <w:szCs w:val="22"/>
              </w:rPr>
              <w:t>Auto Repair (Mechanic Assistant in auto repair shop)</w:t>
            </w:r>
          </w:p>
        </w:tc>
      </w:tr>
      <w:tr w:rsidR="00B56004" w:rsidRPr="00B56004" w14:paraId="05885248" w14:textId="77777777" w:rsidTr="00B56004">
        <w:tc>
          <w:tcPr>
            <w:tcW w:w="1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C687F" w14:textId="77777777" w:rsidR="00B56004" w:rsidRPr="00B56004" w:rsidRDefault="00B56004">
            <w:pPr>
              <w:rPr>
                <w:rFonts w:ascii="Calibri" w:hAnsi="Calibri" w:cs="Calibri"/>
                <w:sz w:val="22"/>
                <w:szCs w:val="22"/>
              </w:rPr>
            </w:pPr>
            <w:r w:rsidRPr="00B56004">
              <w:rPr>
                <w:rFonts w:ascii="Calibri" w:hAnsi="Calibri" w:cs="Calibri"/>
                <w:sz w:val="22"/>
                <w:szCs w:val="22"/>
              </w:rPr>
              <w:t>2157</w:t>
            </w:r>
          </w:p>
        </w:tc>
        <w:tc>
          <w:tcPr>
            <w:tcW w:w="7470" w:type="dxa"/>
            <w:tcBorders>
              <w:top w:val="nil"/>
              <w:left w:val="nil"/>
              <w:bottom w:val="single" w:sz="8" w:space="0" w:color="auto"/>
              <w:right w:val="single" w:sz="8" w:space="0" w:color="auto"/>
            </w:tcBorders>
            <w:tcMar>
              <w:top w:w="0" w:type="dxa"/>
              <w:left w:w="108" w:type="dxa"/>
              <w:bottom w:w="0" w:type="dxa"/>
              <w:right w:w="108" w:type="dxa"/>
            </w:tcMar>
            <w:hideMark/>
          </w:tcPr>
          <w:p w14:paraId="0651A735" w14:textId="77777777" w:rsidR="00B56004" w:rsidRPr="00B56004" w:rsidRDefault="00B56004">
            <w:pPr>
              <w:rPr>
                <w:rFonts w:ascii="Calibri" w:hAnsi="Calibri" w:cs="Calibri"/>
                <w:sz w:val="22"/>
                <w:szCs w:val="22"/>
              </w:rPr>
            </w:pPr>
            <w:r w:rsidRPr="00B56004">
              <w:rPr>
                <w:rFonts w:ascii="Calibri" w:hAnsi="Calibri" w:cs="Calibri"/>
                <w:sz w:val="22"/>
                <w:szCs w:val="22"/>
              </w:rPr>
              <w:t xml:space="preserve">Beverage </w:t>
            </w:r>
            <w:proofErr w:type="spellStart"/>
            <w:r w:rsidRPr="00B56004">
              <w:rPr>
                <w:rFonts w:ascii="Calibri" w:hAnsi="Calibri" w:cs="Calibri"/>
                <w:sz w:val="22"/>
                <w:szCs w:val="22"/>
              </w:rPr>
              <w:t>Mfg</w:t>
            </w:r>
            <w:proofErr w:type="spellEnd"/>
            <w:r w:rsidRPr="00B56004">
              <w:rPr>
                <w:rFonts w:ascii="Calibri" w:hAnsi="Calibri" w:cs="Calibri"/>
                <w:sz w:val="22"/>
                <w:szCs w:val="22"/>
              </w:rPr>
              <w:t xml:space="preserve"> – Carb – All OPS – SUS &amp; DR</w:t>
            </w:r>
          </w:p>
        </w:tc>
      </w:tr>
      <w:tr w:rsidR="00B56004" w:rsidRPr="00B56004" w14:paraId="5B648925" w14:textId="77777777" w:rsidTr="00B56004">
        <w:tc>
          <w:tcPr>
            <w:tcW w:w="1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C94635" w14:textId="77777777" w:rsidR="00B56004" w:rsidRPr="00B56004" w:rsidRDefault="00B56004">
            <w:pPr>
              <w:rPr>
                <w:rFonts w:ascii="Calibri" w:hAnsi="Calibri" w:cs="Calibri"/>
                <w:sz w:val="22"/>
                <w:szCs w:val="22"/>
              </w:rPr>
            </w:pPr>
            <w:r w:rsidRPr="00B56004">
              <w:rPr>
                <w:rFonts w:ascii="Calibri" w:hAnsi="Calibri" w:cs="Calibri"/>
                <w:sz w:val="22"/>
                <w:szCs w:val="22"/>
              </w:rPr>
              <w:t>5645</w:t>
            </w:r>
          </w:p>
        </w:tc>
        <w:tc>
          <w:tcPr>
            <w:tcW w:w="7470" w:type="dxa"/>
            <w:tcBorders>
              <w:top w:val="nil"/>
              <w:left w:val="nil"/>
              <w:bottom w:val="single" w:sz="8" w:space="0" w:color="auto"/>
              <w:right w:val="single" w:sz="8" w:space="0" w:color="auto"/>
            </w:tcBorders>
            <w:tcMar>
              <w:top w:w="0" w:type="dxa"/>
              <w:left w:w="108" w:type="dxa"/>
              <w:bottom w:w="0" w:type="dxa"/>
              <w:right w:w="108" w:type="dxa"/>
            </w:tcMar>
            <w:hideMark/>
          </w:tcPr>
          <w:p w14:paraId="199745FC" w14:textId="77777777" w:rsidR="00B56004" w:rsidRPr="00B56004" w:rsidRDefault="00B56004">
            <w:pPr>
              <w:rPr>
                <w:rFonts w:ascii="Calibri" w:hAnsi="Calibri" w:cs="Calibri"/>
                <w:sz w:val="22"/>
                <w:szCs w:val="22"/>
              </w:rPr>
            </w:pPr>
            <w:r w:rsidRPr="00B56004">
              <w:rPr>
                <w:rFonts w:ascii="Calibri" w:hAnsi="Calibri" w:cs="Calibri"/>
                <w:sz w:val="22"/>
                <w:szCs w:val="22"/>
              </w:rPr>
              <w:t>Carpentry – Detached ½ family dwellings</w:t>
            </w:r>
          </w:p>
        </w:tc>
      </w:tr>
      <w:tr w:rsidR="00B56004" w:rsidRPr="00B56004" w14:paraId="3FD346C2" w14:textId="77777777" w:rsidTr="00B56004">
        <w:tc>
          <w:tcPr>
            <w:tcW w:w="1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E3DEA" w14:textId="77777777" w:rsidR="00B56004" w:rsidRPr="00B56004" w:rsidRDefault="00B56004">
            <w:pPr>
              <w:rPr>
                <w:rFonts w:ascii="Calibri" w:hAnsi="Calibri" w:cs="Calibri"/>
                <w:sz w:val="22"/>
                <w:szCs w:val="22"/>
              </w:rPr>
            </w:pPr>
            <w:r w:rsidRPr="00B56004">
              <w:rPr>
                <w:rFonts w:ascii="Calibri" w:hAnsi="Calibri" w:cs="Calibri"/>
                <w:sz w:val="22"/>
                <w:szCs w:val="22"/>
              </w:rPr>
              <w:t>8810</w:t>
            </w:r>
          </w:p>
        </w:tc>
        <w:tc>
          <w:tcPr>
            <w:tcW w:w="7470" w:type="dxa"/>
            <w:tcBorders>
              <w:top w:val="nil"/>
              <w:left w:val="nil"/>
              <w:bottom w:val="single" w:sz="8" w:space="0" w:color="auto"/>
              <w:right w:val="single" w:sz="8" w:space="0" w:color="auto"/>
            </w:tcBorders>
            <w:tcMar>
              <w:top w:w="0" w:type="dxa"/>
              <w:left w:w="108" w:type="dxa"/>
              <w:bottom w:w="0" w:type="dxa"/>
              <w:right w:w="108" w:type="dxa"/>
            </w:tcMar>
            <w:hideMark/>
          </w:tcPr>
          <w:p w14:paraId="60C9FBF1" w14:textId="77777777" w:rsidR="00B56004" w:rsidRPr="00B56004" w:rsidRDefault="00B56004">
            <w:pPr>
              <w:rPr>
                <w:rFonts w:ascii="Calibri" w:hAnsi="Calibri" w:cs="Calibri"/>
                <w:sz w:val="22"/>
                <w:szCs w:val="22"/>
              </w:rPr>
            </w:pPr>
            <w:r w:rsidRPr="00B56004">
              <w:rPr>
                <w:rFonts w:ascii="Calibri" w:hAnsi="Calibri" w:cs="Calibri"/>
                <w:sz w:val="22"/>
                <w:szCs w:val="22"/>
              </w:rPr>
              <w:t>Clerical Office Employee NOC</w:t>
            </w:r>
          </w:p>
        </w:tc>
      </w:tr>
      <w:tr w:rsidR="00B56004" w:rsidRPr="00B56004" w14:paraId="707E7325" w14:textId="77777777" w:rsidTr="00B56004">
        <w:tc>
          <w:tcPr>
            <w:tcW w:w="1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E6422" w14:textId="77777777" w:rsidR="00B56004" w:rsidRPr="00B56004" w:rsidRDefault="00B56004">
            <w:pPr>
              <w:rPr>
                <w:rFonts w:ascii="Calibri" w:hAnsi="Calibri" w:cs="Calibri"/>
                <w:sz w:val="22"/>
                <w:szCs w:val="22"/>
              </w:rPr>
            </w:pPr>
            <w:r w:rsidRPr="00B56004">
              <w:rPr>
                <w:rFonts w:ascii="Calibri" w:hAnsi="Calibri" w:cs="Calibri"/>
                <w:sz w:val="22"/>
                <w:szCs w:val="22"/>
              </w:rPr>
              <w:t>8864</w:t>
            </w:r>
          </w:p>
        </w:tc>
        <w:tc>
          <w:tcPr>
            <w:tcW w:w="7470" w:type="dxa"/>
            <w:tcBorders>
              <w:top w:val="nil"/>
              <w:left w:val="nil"/>
              <w:bottom w:val="single" w:sz="8" w:space="0" w:color="auto"/>
              <w:right w:val="single" w:sz="8" w:space="0" w:color="auto"/>
            </w:tcBorders>
            <w:tcMar>
              <w:top w:w="0" w:type="dxa"/>
              <w:left w:w="108" w:type="dxa"/>
              <w:bottom w:w="0" w:type="dxa"/>
              <w:right w:w="108" w:type="dxa"/>
            </w:tcMar>
            <w:hideMark/>
          </w:tcPr>
          <w:p w14:paraId="05643629" w14:textId="77777777" w:rsidR="00B56004" w:rsidRPr="00B56004" w:rsidRDefault="00B56004">
            <w:pPr>
              <w:rPr>
                <w:rFonts w:ascii="Calibri" w:hAnsi="Calibri" w:cs="Calibri"/>
                <w:sz w:val="22"/>
                <w:szCs w:val="22"/>
              </w:rPr>
            </w:pPr>
            <w:r w:rsidRPr="00B56004">
              <w:rPr>
                <w:rFonts w:ascii="Calibri" w:hAnsi="Calibri" w:cs="Calibri"/>
                <w:sz w:val="22"/>
                <w:szCs w:val="22"/>
              </w:rPr>
              <w:t>Social Services Organization</w:t>
            </w:r>
          </w:p>
        </w:tc>
      </w:tr>
      <w:tr w:rsidR="00B56004" w:rsidRPr="00B56004" w14:paraId="0DD56849" w14:textId="77777777" w:rsidTr="00B56004">
        <w:tc>
          <w:tcPr>
            <w:tcW w:w="1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451BF" w14:textId="77777777" w:rsidR="00B56004" w:rsidRPr="00B56004" w:rsidRDefault="00B56004">
            <w:pPr>
              <w:rPr>
                <w:rFonts w:ascii="Calibri" w:hAnsi="Calibri" w:cs="Calibri"/>
                <w:sz w:val="22"/>
                <w:szCs w:val="22"/>
              </w:rPr>
            </w:pPr>
            <w:r w:rsidRPr="00B56004">
              <w:rPr>
                <w:rFonts w:ascii="Calibri" w:hAnsi="Calibri" w:cs="Calibri"/>
                <w:sz w:val="22"/>
                <w:szCs w:val="22"/>
              </w:rPr>
              <w:t>9102</w:t>
            </w:r>
          </w:p>
        </w:tc>
        <w:tc>
          <w:tcPr>
            <w:tcW w:w="7470" w:type="dxa"/>
            <w:tcBorders>
              <w:top w:val="nil"/>
              <w:left w:val="nil"/>
              <w:bottom w:val="single" w:sz="8" w:space="0" w:color="auto"/>
              <w:right w:val="single" w:sz="8" w:space="0" w:color="auto"/>
            </w:tcBorders>
            <w:tcMar>
              <w:top w:w="0" w:type="dxa"/>
              <w:left w:w="108" w:type="dxa"/>
              <w:bottom w:w="0" w:type="dxa"/>
              <w:right w:w="108" w:type="dxa"/>
            </w:tcMar>
            <w:hideMark/>
          </w:tcPr>
          <w:p w14:paraId="2C90D73E" w14:textId="77777777" w:rsidR="00B56004" w:rsidRPr="00B56004" w:rsidRDefault="00B56004">
            <w:pPr>
              <w:rPr>
                <w:rFonts w:ascii="Calibri" w:hAnsi="Calibri" w:cs="Calibri"/>
                <w:sz w:val="22"/>
                <w:szCs w:val="22"/>
              </w:rPr>
            </w:pPr>
            <w:r w:rsidRPr="00B56004">
              <w:rPr>
                <w:rFonts w:ascii="Calibri" w:hAnsi="Calibri" w:cs="Calibri"/>
                <w:sz w:val="22"/>
                <w:szCs w:val="22"/>
              </w:rPr>
              <w:t>Park NOC – All Employees &amp; Drivers (grass cutting, weed control, lawn spraying</w:t>
            </w:r>
          </w:p>
          <w:p w14:paraId="4B9E2A9B" w14:textId="3FBA83A1" w:rsidR="00B56004" w:rsidRPr="00B56004" w:rsidRDefault="00B56004">
            <w:pPr>
              <w:rPr>
                <w:rFonts w:ascii="Calibri" w:hAnsi="Calibri" w:cs="Calibri"/>
                <w:sz w:val="22"/>
                <w:szCs w:val="22"/>
              </w:rPr>
            </w:pPr>
            <w:r w:rsidRPr="00B56004">
              <w:rPr>
                <w:rFonts w:ascii="Calibri" w:hAnsi="Calibri" w:cs="Calibri"/>
                <w:sz w:val="22"/>
                <w:szCs w:val="22"/>
              </w:rPr>
              <w:t>Lawn Maintenance –</w:t>
            </w:r>
            <w:r w:rsidR="003D0C7D">
              <w:rPr>
                <w:rFonts w:ascii="Calibri" w:hAnsi="Calibri" w:cs="Calibri"/>
                <w:sz w:val="22"/>
                <w:szCs w:val="22"/>
              </w:rPr>
              <w:t xml:space="preserve">Commercial </w:t>
            </w:r>
            <w:r w:rsidRPr="00B56004">
              <w:rPr>
                <w:rFonts w:ascii="Calibri" w:hAnsi="Calibri" w:cs="Calibri"/>
                <w:sz w:val="22"/>
                <w:szCs w:val="22"/>
              </w:rPr>
              <w:t>or Domestic &amp; Drivers</w:t>
            </w:r>
          </w:p>
        </w:tc>
      </w:tr>
    </w:tbl>
    <w:p w14:paraId="5C9561EA" w14:textId="77777777" w:rsidR="00B56004" w:rsidRPr="00B56004" w:rsidRDefault="00B56004" w:rsidP="00B56004"/>
    <w:p w14:paraId="39A33EF0" w14:textId="7AB7BBD3" w:rsidR="00B56004" w:rsidRPr="00B56004" w:rsidRDefault="00B56004" w:rsidP="00B56004">
      <w:pPr>
        <w:rPr>
          <w:b/>
          <w:bCs/>
        </w:rPr>
      </w:pPr>
      <w:r w:rsidRPr="00B56004">
        <w:rPr>
          <w:b/>
          <w:bCs/>
        </w:rPr>
        <w:t xml:space="preserve">Questions Submitted </w:t>
      </w:r>
    </w:p>
    <w:p w14:paraId="1FAECAB8" w14:textId="77777777" w:rsidR="00B56004" w:rsidRPr="00B56004" w:rsidRDefault="00B56004" w:rsidP="00B56004"/>
    <w:p w14:paraId="3794A1D6" w14:textId="77777777" w:rsidR="00A464E4" w:rsidRPr="00A464E4" w:rsidRDefault="00B56004" w:rsidP="00A464E4">
      <w:pPr>
        <w:pStyle w:val="ListParagraph"/>
        <w:numPr>
          <w:ilvl w:val="0"/>
          <w:numId w:val="1"/>
        </w:numPr>
        <w:rPr>
          <w:rFonts w:ascii="Cambria" w:hAnsi="Cambria"/>
          <w:b/>
          <w:bCs/>
          <w:sz w:val="22"/>
          <w:szCs w:val="22"/>
        </w:rPr>
      </w:pPr>
      <w:r w:rsidRPr="00A464E4">
        <w:rPr>
          <w:rFonts w:ascii="Cambria" w:hAnsi="Cambria"/>
          <w:b/>
          <w:bCs/>
          <w:sz w:val="22"/>
          <w:szCs w:val="22"/>
        </w:rPr>
        <w:t xml:space="preserve">Do proposal submissions need to be emailed to </w:t>
      </w:r>
      <w:hyperlink r:id="rId10" w:history="1">
        <w:r w:rsidRPr="00A464E4">
          <w:rPr>
            <w:rStyle w:val="Hyperlink"/>
            <w:rFonts w:ascii="Cambria" w:hAnsi="Cambria"/>
            <w:b/>
            <w:bCs/>
            <w:sz w:val="22"/>
            <w:szCs w:val="22"/>
          </w:rPr>
          <w:t>procurement@tpma-inc.com</w:t>
        </w:r>
      </w:hyperlink>
      <w:r w:rsidRPr="00A464E4">
        <w:rPr>
          <w:rFonts w:ascii="Cambria" w:hAnsi="Cambria"/>
          <w:b/>
          <w:bCs/>
          <w:sz w:val="22"/>
          <w:szCs w:val="22"/>
        </w:rPr>
        <w:t xml:space="preserve"> or another email address?</w:t>
      </w:r>
    </w:p>
    <w:p w14:paraId="0D923392" w14:textId="711CC854" w:rsidR="00A464E4" w:rsidRPr="00A464E4" w:rsidRDefault="00A464E4" w:rsidP="00A464E4">
      <w:pPr>
        <w:pStyle w:val="ListParagraph"/>
        <w:numPr>
          <w:ilvl w:val="1"/>
          <w:numId w:val="1"/>
        </w:numPr>
        <w:rPr>
          <w:rFonts w:ascii="Cambria" w:hAnsi="Cambria"/>
          <w:sz w:val="22"/>
          <w:szCs w:val="22"/>
        </w:rPr>
      </w:pPr>
      <w:r w:rsidRPr="00A464E4">
        <w:rPr>
          <w:rFonts w:ascii="Cambria" w:hAnsi="Cambria"/>
          <w:sz w:val="22"/>
          <w:szCs w:val="22"/>
        </w:rPr>
        <w:t xml:space="preserve">YES </w:t>
      </w:r>
      <w:r>
        <w:rPr>
          <w:rFonts w:ascii="Cambria" w:hAnsi="Cambria"/>
          <w:sz w:val="22"/>
          <w:szCs w:val="22"/>
        </w:rPr>
        <w:t xml:space="preserve">– You will receive an email upon receipt of the submission </w:t>
      </w:r>
    </w:p>
    <w:p w14:paraId="3AF6895A" w14:textId="77777777" w:rsidR="000E170B" w:rsidRDefault="000E170B" w:rsidP="000E170B">
      <w:pPr>
        <w:pStyle w:val="ListParagraph"/>
        <w:rPr>
          <w:rFonts w:ascii="Cambria" w:hAnsi="Cambria"/>
          <w:b/>
          <w:bCs/>
          <w:sz w:val="22"/>
          <w:szCs w:val="22"/>
        </w:rPr>
      </w:pPr>
    </w:p>
    <w:p w14:paraId="75133C31" w14:textId="1D0DF180" w:rsidR="00B56004" w:rsidRDefault="00B56004" w:rsidP="00B56004">
      <w:pPr>
        <w:pStyle w:val="ListParagraph"/>
        <w:numPr>
          <w:ilvl w:val="0"/>
          <w:numId w:val="1"/>
        </w:numPr>
        <w:rPr>
          <w:rFonts w:ascii="Cambria" w:hAnsi="Cambria"/>
          <w:b/>
          <w:bCs/>
          <w:sz w:val="22"/>
          <w:szCs w:val="22"/>
        </w:rPr>
      </w:pPr>
      <w:r w:rsidRPr="00A464E4">
        <w:rPr>
          <w:rFonts w:ascii="Cambria" w:hAnsi="Cambria"/>
          <w:b/>
          <w:bCs/>
          <w:sz w:val="22"/>
          <w:szCs w:val="22"/>
        </w:rPr>
        <w:t>How many hours will participants work on average per week</w:t>
      </w:r>
      <w:r w:rsidR="00FF5AEE">
        <w:rPr>
          <w:rFonts w:ascii="Cambria" w:hAnsi="Cambria"/>
          <w:b/>
          <w:bCs/>
          <w:sz w:val="22"/>
          <w:szCs w:val="22"/>
        </w:rPr>
        <w:t xml:space="preserve">? </w:t>
      </w:r>
    </w:p>
    <w:p w14:paraId="0B58CACE" w14:textId="7A4008B8" w:rsidR="00FF5AEE" w:rsidRPr="00872467" w:rsidRDefault="00FF5AEE" w:rsidP="00FF5AEE">
      <w:pPr>
        <w:pStyle w:val="ListParagraph"/>
        <w:numPr>
          <w:ilvl w:val="1"/>
          <w:numId w:val="1"/>
        </w:numPr>
        <w:rPr>
          <w:rFonts w:ascii="Cambria" w:hAnsi="Cambria"/>
          <w:sz w:val="22"/>
          <w:szCs w:val="22"/>
        </w:rPr>
      </w:pPr>
      <w:r w:rsidRPr="00872467">
        <w:rPr>
          <w:rFonts w:ascii="Cambria" w:hAnsi="Cambria"/>
          <w:sz w:val="22"/>
          <w:szCs w:val="22"/>
        </w:rPr>
        <w:t>The average hours per week worked for the pay period referenced in this RFQ was 20; however, per our worksite agreement an intern may work up to 40 hours per week</w:t>
      </w:r>
      <w:r w:rsidR="00872467">
        <w:rPr>
          <w:rFonts w:ascii="Cambria" w:hAnsi="Cambria"/>
          <w:sz w:val="22"/>
          <w:szCs w:val="22"/>
        </w:rPr>
        <w:t xml:space="preserve"> or the maximum number of hours allowed based on the specific funding source</w:t>
      </w:r>
      <w:r w:rsidR="00792B18">
        <w:rPr>
          <w:rFonts w:ascii="Cambria" w:hAnsi="Cambria"/>
          <w:sz w:val="22"/>
          <w:szCs w:val="22"/>
        </w:rPr>
        <w:t xml:space="preserve"> and age of the intern in accordance with child labor laws.  Interns are not allowed to work overtime as overtime wages are not an allowable grant expense.</w:t>
      </w:r>
      <w:r w:rsidRPr="00872467">
        <w:rPr>
          <w:rFonts w:ascii="Cambria" w:hAnsi="Cambria"/>
          <w:sz w:val="22"/>
          <w:szCs w:val="22"/>
        </w:rPr>
        <w:t xml:space="preserve">  Of the 33 interns on the referenced payroll, only </w:t>
      </w:r>
      <w:r w:rsidR="00872467">
        <w:rPr>
          <w:rFonts w:ascii="Cambria" w:hAnsi="Cambria"/>
          <w:sz w:val="22"/>
          <w:szCs w:val="22"/>
        </w:rPr>
        <w:t>10% (</w:t>
      </w:r>
      <w:r w:rsidRPr="00872467">
        <w:rPr>
          <w:rFonts w:ascii="Cambria" w:hAnsi="Cambria"/>
          <w:sz w:val="22"/>
          <w:szCs w:val="22"/>
        </w:rPr>
        <w:t>3</w:t>
      </w:r>
      <w:r w:rsidR="00872467">
        <w:rPr>
          <w:rFonts w:ascii="Cambria" w:hAnsi="Cambria"/>
          <w:sz w:val="22"/>
          <w:szCs w:val="22"/>
        </w:rPr>
        <w:t>)</w:t>
      </w:r>
      <w:r w:rsidRPr="00872467">
        <w:rPr>
          <w:rFonts w:ascii="Cambria" w:hAnsi="Cambria"/>
          <w:sz w:val="22"/>
          <w:szCs w:val="22"/>
        </w:rPr>
        <w:t xml:space="preserve"> worked the maximum of 40 hours per week.</w:t>
      </w:r>
    </w:p>
    <w:p w14:paraId="6097DAAD" w14:textId="77777777" w:rsidR="000E170B" w:rsidRDefault="000E170B" w:rsidP="000E170B">
      <w:pPr>
        <w:pStyle w:val="ListParagraph"/>
        <w:rPr>
          <w:rFonts w:ascii="Cambria" w:hAnsi="Cambria"/>
          <w:b/>
          <w:bCs/>
          <w:sz w:val="22"/>
          <w:szCs w:val="22"/>
        </w:rPr>
      </w:pPr>
    </w:p>
    <w:p w14:paraId="2DF341FC" w14:textId="1F0010F9" w:rsidR="00B56004" w:rsidRDefault="00B56004" w:rsidP="00B56004">
      <w:pPr>
        <w:pStyle w:val="ListParagraph"/>
        <w:numPr>
          <w:ilvl w:val="0"/>
          <w:numId w:val="1"/>
        </w:numPr>
        <w:rPr>
          <w:rFonts w:ascii="Cambria" w:hAnsi="Cambria"/>
          <w:b/>
          <w:bCs/>
          <w:sz w:val="22"/>
          <w:szCs w:val="22"/>
        </w:rPr>
      </w:pPr>
      <w:r w:rsidRPr="00A464E4">
        <w:rPr>
          <w:rFonts w:ascii="Cambria" w:hAnsi="Cambria"/>
          <w:b/>
          <w:bCs/>
          <w:sz w:val="22"/>
          <w:szCs w:val="22"/>
        </w:rPr>
        <w:t>How many hours will participants work for completion of their internships?</w:t>
      </w:r>
      <w:r w:rsidR="00FF5AEE">
        <w:rPr>
          <w:rFonts w:ascii="Cambria" w:hAnsi="Cambria"/>
          <w:b/>
          <w:bCs/>
          <w:sz w:val="22"/>
          <w:szCs w:val="22"/>
        </w:rPr>
        <w:t xml:space="preserve"> </w:t>
      </w:r>
    </w:p>
    <w:p w14:paraId="4BB3BC8D" w14:textId="1BA664C2" w:rsidR="00FF5AEE" w:rsidRPr="00872467" w:rsidRDefault="00FF5AEE" w:rsidP="00FF5AEE">
      <w:pPr>
        <w:pStyle w:val="ListParagraph"/>
        <w:numPr>
          <w:ilvl w:val="1"/>
          <w:numId w:val="1"/>
        </w:numPr>
        <w:rPr>
          <w:rFonts w:ascii="Cambria" w:hAnsi="Cambria"/>
          <w:sz w:val="22"/>
          <w:szCs w:val="22"/>
        </w:rPr>
      </w:pPr>
      <w:r w:rsidRPr="00872467">
        <w:rPr>
          <w:rFonts w:ascii="Cambria" w:hAnsi="Cambria"/>
          <w:sz w:val="22"/>
          <w:szCs w:val="22"/>
        </w:rPr>
        <w:t>The</w:t>
      </w:r>
      <w:r w:rsidR="00872467" w:rsidRPr="00872467">
        <w:rPr>
          <w:rFonts w:ascii="Cambria" w:hAnsi="Cambria"/>
          <w:sz w:val="22"/>
          <w:szCs w:val="22"/>
        </w:rPr>
        <w:t xml:space="preserve"> hours for completion of an internship will vary based on a specific funding source, intern or worksite.  For instance, we have one funding source which allows up to 975 hours for 6 months (average 37.5 hours per week), while </w:t>
      </w:r>
      <w:r w:rsidR="00872467" w:rsidRPr="00872467">
        <w:rPr>
          <w:rFonts w:ascii="Cambria" w:hAnsi="Cambria"/>
          <w:sz w:val="22"/>
          <w:szCs w:val="22"/>
        </w:rPr>
        <w:lastRenderedPageBreak/>
        <w:t>another allows for up to 2 years, but interns may not work more than 20 hours per week.  Another funding source allows the intern to make $4000 so time to complete would depend on the wage.  Interns who are still in high school or in college may have to work around class schedules and will work a more limited schedule.  Some worksites only want the interns to work certain days (when a supervisor is available or when specific duties are scheduled).  WFI will identify which program/funding source the intern is eligible for and work out a suitable schedule with the worksite and submit all information to the EOR</w:t>
      </w:r>
      <w:r w:rsidR="003D0C7D">
        <w:rPr>
          <w:rFonts w:ascii="Cambria" w:hAnsi="Cambria"/>
          <w:sz w:val="22"/>
          <w:szCs w:val="22"/>
        </w:rPr>
        <w:t xml:space="preserve"> </w:t>
      </w:r>
      <w:r w:rsidR="003D0C7D" w:rsidRPr="003D0C7D">
        <w:rPr>
          <w:rFonts w:ascii="Cambria" w:hAnsi="Cambria"/>
          <w:sz w:val="22"/>
          <w:szCs w:val="22"/>
          <w:u w:val="single"/>
        </w:rPr>
        <w:t>prior to</w:t>
      </w:r>
      <w:r w:rsidR="003D0C7D">
        <w:rPr>
          <w:rFonts w:ascii="Cambria" w:hAnsi="Cambria"/>
          <w:sz w:val="22"/>
          <w:szCs w:val="22"/>
        </w:rPr>
        <w:t xml:space="preserve"> final hire.</w:t>
      </w:r>
    </w:p>
    <w:p w14:paraId="2EE4CA0C" w14:textId="77777777" w:rsidR="00872467" w:rsidRPr="00872467" w:rsidRDefault="00872467" w:rsidP="00872467">
      <w:pPr>
        <w:pStyle w:val="ListParagraph"/>
        <w:ind w:left="1440"/>
        <w:rPr>
          <w:rFonts w:ascii="Cambria" w:hAnsi="Cambria"/>
          <w:sz w:val="22"/>
          <w:szCs w:val="22"/>
        </w:rPr>
      </w:pPr>
    </w:p>
    <w:p w14:paraId="5226B74B" w14:textId="77777777" w:rsidR="00872467" w:rsidRDefault="00B56004" w:rsidP="00B56004">
      <w:pPr>
        <w:pStyle w:val="ListParagraph"/>
        <w:numPr>
          <w:ilvl w:val="0"/>
          <w:numId w:val="1"/>
        </w:numPr>
        <w:rPr>
          <w:rFonts w:ascii="Cambria" w:hAnsi="Cambria"/>
          <w:b/>
          <w:bCs/>
          <w:sz w:val="22"/>
          <w:szCs w:val="22"/>
        </w:rPr>
      </w:pPr>
      <w:r w:rsidRPr="00A464E4">
        <w:rPr>
          <w:rFonts w:ascii="Cambria" w:hAnsi="Cambria"/>
          <w:b/>
          <w:bCs/>
          <w:sz w:val="22"/>
          <w:szCs w:val="22"/>
        </w:rPr>
        <w:t>What level of drug screening do your worksites require?</w:t>
      </w:r>
    </w:p>
    <w:p w14:paraId="68373331" w14:textId="1F4CE3F5" w:rsidR="00B56004" w:rsidRPr="00A464E4" w:rsidRDefault="00872467" w:rsidP="00872467">
      <w:pPr>
        <w:pStyle w:val="ListParagraph"/>
        <w:numPr>
          <w:ilvl w:val="1"/>
          <w:numId w:val="1"/>
        </w:numPr>
        <w:rPr>
          <w:rFonts w:ascii="Cambria" w:hAnsi="Cambria"/>
          <w:b/>
          <w:bCs/>
          <w:sz w:val="22"/>
          <w:szCs w:val="22"/>
        </w:rPr>
      </w:pPr>
      <w:r>
        <w:rPr>
          <w:rFonts w:ascii="Cambria" w:hAnsi="Cambria"/>
          <w:sz w:val="22"/>
          <w:szCs w:val="22"/>
        </w:rPr>
        <w:t>We have very few worksites that require/request a drug screen.  The level of drug screening, if requested, would be customary to that specific employer.</w:t>
      </w:r>
      <w:r w:rsidR="00FF5AEE">
        <w:rPr>
          <w:rFonts w:ascii="Cambria" w:hAnsi="Cambria"/>
          <w:b/>
          <w:bCs/>
          <w:sz w:val="22"/>
          <w:szCs w:val="22"/>
        </w:rPr>
        <w:t xml:space="preserve"> </w:t>
      </w:r>
    </w:p>
    <w:p w14:paraId="5393A0AF" w14:textId="77777777" w:rsidR="000E170B" w:rsidRDefault="000E170B" w:rsidP="000E170B">
      <w:pPr>
        <w:pStyle w:val="ListParagraph"/>
        <w:rPr>
          <w:rFonts w:ascii="Cambria" w:hAnsi="Cambria"/>
          <w:b/>
          <w:bCs/>
          <w:sz w:val="22"/>
          <w:szCs w:val="22"/>
        </w:rPr>
      </w:pPr>
    </w:p>
    <w:p w14:paraId="097B728D" w14:textId="3CACFDDB" w:rsidR="00872467" w:rsidRDefault="00B56004" w:rsidP="00872467">
      <w:pPr>
        <w:pStyle w:val="ListParagraph"/>
        <w:numPr>
          <w:ilvl w:val="0"/>
          <w:numId w:val="1"/>
        </w:numPr>
        <w:rPr>
          <w:rFonts w:ascii="Cambria" w:hAnsi="Cambria"/>
          <w:b/>
          <w:bCs/>
          <w:sz w:val="22"/>
          <w:szCs w:val="22"/>
        </w:rPr>
      </w:pPr>
      <w:r w:rsidRPr="00A464E4">
        <w:rPr>
          <w:rFonts w:ascii="Cambria" w:hAnsi="Cambria"/>
          <w:b/>
          <w:bCs/>
          <w:sz w:val="22"/>
          <w:szCs w:val="22"/>
        </w:rPr>
        <w:t>What percentage of positions require drug screens and background checks?</w:t>
      </w:r>
    </w:p>
    <w:p w14:paraId="646E7C3F" w14:textId="2D974944" w:rsidR="00872467" w:rsidRPr="000E170B" w:rsidRDefault="00872467" w:rsidP="00872467">
      <w:pPr>
        <w:pStyle w:val="ListParagraph"/>
        <w:numPr>
          <w:ilvl w:val="1"/>
          <w:numId w:val="1"/>
        </w:numPr>
        <w:rPr>
          <w:rFonts w:ascii="Cambria" w:hAnsi="Cambria"/>
          <w:sz w:val="22"/>
          <w:szCs w:val="22"/>
        </w:rPr>
      </w:pPr>
      <w:r w:rsidRPr="000E170B">
        <w:rPr>
          <w:rFonts w:ascii="Cambria" w:hAnsi="Cambria"/>
          <w:sz w:val="22"/>
          <w:szCs w:val="22"/>
        </w:rPr>
        <w:t xml:space="preserve">Of the current 33 interns as referenced in this RFQ, 0% required drug screens or background checks.  WFI has not paid for any drug screens or background checks since becoming EOR December 1, 2023.  Prior to December 1, 2023, we understand the Career Service Provider on occasion had a request. </w:t>
      </w:r>
    </w:p>
    <w:p w14:paraId="44793507" w14:textId="77777777" w:rsidR="000E170B" w:rsidRDefault="000E170B" w:rsidP="000E170B">
      <w:pPr>
        <w:pStyle w:val="ListParagraph"/>
        <w:rPr>
          <w:rFonts w:ascii="Cambria" w:hAnsi="Cambria"/>
          <w:b/>
          <w:bCs/>
          <w:sz w:val="22"/>
          <w:szCs w:val="22"/>
        </w:rPr>
      </w:pPr>
    </w:p>
    <w:p w14:paraId="13C1C61B" w14:textId="61884984" w:rsidR="00B56004" w:rsidRDefault="00B56004" w:rsidP="00B56004">
      <w:pPr>
        <w:pStyle w:val="ListParagraph"/>
        <w:numPr>
          <w:ilvl w:val="0"/>
          <w:numId w:val="1"/>
        </w:numPr>
        <w:rPr>
          <w:rFonts w:ascii="Cambria" w:hAnsi="Cambria"/>
          <w:b/>
          <w:bCs/>
          <w:sz w:val="22"/>
          <w:szCs w:val="22"/>
        </w:rPr>
      </w:pPr>
      <w:r w:rsidRPr="00A464E4">
        <w:rPr>
          <w:rFonts w:ascii="Cambria" w:hAnsi="Cambria"/>
          <w:b/>
          <w:bCs/>
          <w:sz w:val="22"/>
          <w:szCs w:val="22"/>
        </w:rPr>
        <w:t xml:space="preserve">Do you </w:t>
      </w:r>
      <w:proofErr w:type="gramStart"/>
      <w:r w:rsidRPr="00A464E4">
        <w:rPr>
          <w:rFonts w:ascii="Cambria" w:hAnsi="Cambria"/>
          <w:b/>
          <w:bCs/>
          <w:sz w:val="22"/>
          <w:szCs w:val="22"/>
        </w:rPr>
        <w:t>have a preference for</w:t>
      </w:r>
      <w:proofErr w:type="gramEnd"/>
      <w:r w:rsidRPr="00A464E4">
        <w:rPr>
          <w:rFonts w:ascii="Cambria" w:hAnsi="Cambria"/>
          <w:b/>
          <w:bCs/>
          <w:sz w:val="22"/>
          <w:szCs w:val="22"/>
        </w:rPr>
        <w:t xml:space="preserve"> the cost of background and drug screening to be included in the mark-up vs. billed separately?</w:t>
      </w:r>
    </w:p>
    <w:p w14:paraId="685883CA" w14:textId="77777777" w:rsidR="007667EA" w:rsidRDefault="007667EA" w:rsidP="00872467">
      <w:pPr>
        <w:pStyle w:val="ListParagraph"/>
        <w:numPr>
          <w:ilvl w:val="1"/>
          <w:numId w:val="1"/>
        </w:numPr>
        <w:rPr>
          <w:rFonts w:ascii="Cambria" w:hAnsi="Cambria"/>
          <w:sz w:val="22"/>
          <w:szCs w:val="22"/>
        </w:rPr>
      </w:pPr>
      <w:r w:rsidRPr="007667EA">
        <w:rPr>
          <w:rFonts w:ascii="Cambria" w:hAnsi="Cambria"/>
          <w:sz w:val="22"/>
          <w:szCs w:val="22"/>
        </w:rPr>
        <w:t xml:space="preserve">Since the instance of a worksite requiring a background or drug screening is so rare, we would prefer the cost be billed separately.  </w:t>
      </w:r>
    </w:p>
    <w:p w14:paraId="6689381B" w14:textId="77777777" w:rsidR="007667EA" w:rsidRDefault="007667EA" w:rsidP="007667EA">
      <w:pPr>
        <w:pStyle w:val="ListParagraph"/>
        <w:ind w:left="1440"/>
        <w:rPr>
          <w:rFonts w:ascii="Cambria" w:hAnsi="Cambria"/>
          <w:sz w:val="22"/>
          <w:szCs w:val="22"/>
        </w:rPr>
      </w:pPr>
    </w:p>
    <w:p w14:paraId="777BF5EB" w14:textId="717F3CA3" w:rsidR="00872467" w:rsidRPr="007667EA" w:rsidRDefault="007667EA" w:rsidP="007667EA">
      <w:pPr>
        <w:pStyle w:val="ListParagraph"/>
        <w:ind w:left="1440"/>
        <w:rPr>
          <w:rFonts w:ascii="Cambria" w:hAnsi="Cambria"/>
          <w:sz w:val="22"/>
          <w:szCs w:val="22"/>
        </w:rPr>
      </w:pPr>
      <w:r w:rsidRPr="007667EA">
        <w:rPr>
          <w:rFonts w:ascii="Cambria" w:hAnsi="Cambria"/>
          <w:sz w:val="22"/>
          <w:szCs w:val="22"/>
        </w:rPr>
        <w:t xml:space="preserve">Note:  We do have at least one funding source that does not allow the cost of background or drug screening.  In the event an intern qualifies under that specific grant </w:t>
      </w:r>
      <w:r w:rsidRPr="003D0C7D">
        <w:rPr>
          <w:rFonts w:ascii="Cambria" w:hAnsi="Cambria"/>
          <w:sz w:val="22"/>
          <w:szCs w:val="22"/>
          <w:u w:val="single"/>
        </w:rPr>
        <w:t>only,</w:t>
      </w:r>
      <w:r w:rsidRPr="007667EA">
        <w:rPr>
          <w:rFonts w:ascii="Cambria" w:hAnsi="Cambria"/>
          <w:sz w:val="22"/>
          <w:szCs w:val="22"/>
        </w:rPr>
        <w:t xml:space="preserve"> we either ask the worksite to provide the service at no cost to us or we would not place that specific intern </w:t>
      </w:r>
      <w:r>
        <w:rPr>
          <w:rFonts w:ascii="Cambria" w:hAnsi="Cambria"/>
          <w:sz w:val="22"/>
          <w:szCs w:val="22"/>
        </w:rPr>
        <w:t>at that specific worksite</w:t>
      </w:r>
      <w:r w:rsidRPr="007667EA">
        <w:rPr>
          <w:rFonts w:ascii="Cambria" w:hAnsi="Cambria"/>
          <w:sz w:val="22"/>
          <w:szCs w:val="22"/>
        </w:rPr>
        <w:t>.  We would attempt to find an intern who would qualify for funding of drug screening and background checks</w:t>
      </w:r>
      <w:r>
        <w:rPr>
          <w:rFonts w:ascii="Cambria" w:hAnsi="Cambria"/>
          <w:sz w:val="22"/>
          <w:szCs w:val="22"/>
        </w:rPr>
        <w:t xml:space="preserve"> for the worksite and attempt to find another suitable worksite for the intern.</w:t>
      </w:r>
    </w:p>
    <w:p w14:paraId="20B2CD52" w14:textId="77777777" w:rsidR="00872467" w:rsidRDefault="00872467" w:rsidP="00872467">
      <w:pPr>
        <w:ind w:left="360"/>
        <w:rPr>
          <w:b/>
          <w:bCs/>
        </w:rPr>
      </w:pPr>
    </w:p>
    <w:p w14:paraId="25710F93" w14:textId="394629AF" w:rsidR="00FF1EE3" w:rsidRDefault="00FF1EE3" w:rsidP="00872467">
      <w:pPr>
        <w:pStyle w:val="ListParagraph"/>
        <w:numPr>
          <w:ilvl w:val="0"/>
          <w:numId w:val="1"/>
        </w:numPr>
        <w:rPr>
          <w:b/>
          <w:bCs/>
        </w:rPr>
      </w:pPr>
      <w:r w:rsidRPr="00872467">
        <w:rPr>
          <w:b/>
          <w:bCs/>
        </w:rPr>
        <w:t>Will any interns be allowed or required to drive vehicles while on the clock? </w:t>
      </w:r>
    </w:p>
    <w:p w14:paraId="591DDC11" w14:textId="68F1E56B" w:rsidR="008E2624" w:rsidRDefault="0087094E" w:rsidP="00646FD7">
      <w:pPr>
        <w:pStyle w:val="ListParagraph"/>
        <w:numPr>
          <w:ilvl w:val="1"/>
          <w:numId w:val="1"/>
        </w:numPr>
      </w:pPr>
      <w:bookmarkStart w:id="0" w:name="_Hlk165366214"/>
      <w:r>
        <w:t>WFI does not</w:t>
      </w:r>
      <w:r w:rsidR="007667EA" w:rsidRPr="00D5561C">
        <w:t xml:space="preserve"> restrict </w:t>
      </w:r>
      <w:r w:rsidR="007667EA" w:rsidRPr="00C17B9E">
        <w:rPr>
          <w:u w:val="single"/>
        </w:rPr>
        <w:t>adults (18 and over)</w:t>
      </w:r>
      <w:r w:rsidR="007667EA" w:rsidRPr="00D5561C">
        <w:t xml:space="preserve"> from driving</w:t>
      </w:r>
      <w:r w:rsidR="008E2624">
        <w:t xml:space="preserve"> as this is a decision of the worksite.  </w:t>
      </w:r>
      <w:r w:rsidR="000E170B">
        <w:t xml:space="preserve">This would be included in the job description.  </w:t>
      </w:r>
      <w:bookmarkEnd w:id="0"/>
    </w:p>
    <w:p w14:paraId="716D75CA" w14:textId="2DF88EFC" w:rsidR="00C17B9E" w:rsidRDefault="0087094E" w:rsidP="008E2624">
      <w:pPr>
        <w:pStyle w:val="ListParagraph"/>
        <w:ind w:left="1440"/>
      </w:pPr>
      <w:r>
        <w:t xml:space="preserve">WFI will </w:t>
      </w:r>
      <w:r w:rsidR="007667EA" w:rsidRPr="00D5561C">
        <w:t>submit</w:t>
      </w:r>
      <w:r>
        <w:t xml:space="preserve"> the</w:t>
      </w:r>
      <w:r w:rsidR="007667EA" w:rsidRPr="00D5561C">
        <w:t xml:space="preserve"> </w:t>
      </w:r>
      <w:r>
        <w:t xml:space="preserve">intern’s individualized </w:t>
      </w:r>
      <w:r w:rsidR="007667EA" w:rsidRPr="00D5561C">
        <w:t xml:space="preserve">job description to the new EOR </w:t>
      </w:r>
      <w:r w:rsidR="007667EA" w:rsidRPr="00D5561C">
        <w:rPr>
          <w:u w:val="single"/>
        </w:rPr>
        <w:t>prior to</w:t>
      </w:r>
      <w:r w:rsidR="007667EA" w:rsidRPr="00D5561C">
        <w:t xml:space="preserve"> hir</w:t>
      </w:r>
      <w:r w:rsidR="008E2624">
        <w:t>ing</w:t>
      </w:r>
      <w:r w:rsidR="007667EA" w:rsidRPr="00D5561C">
        <w:t xml:space="preserve">.  </w:t>
      </w:r>
      <w:r w:rsidR="008E2624">
        <w:t>The EOR will assign the workers compensation code</w:t>
      </w:r>
      <w:r w:rsidR="003D0C7D">
        <w:t xml:space="preserve"> </w:t>
      </w:r>
      <w:r w:rsidR="008E2624">
        <w:t>/</w:t>
      </w:r>
      <w:r w:rsidR="003D0C7D">
        <w:t xml:space="preserve"> </w:t>
      </w:r>
      <w:r w:rsidR="008E2624">
        <w:t xml:space="preserve">classification and provide WFI with the cost/mark-up for that specific code.  </w:t>
      </w:r>
      <w:r w:rsidR="007667EA" w:rsidRPr="00D5561C">
        <w:t xml:space="preserve">If </w:t>
      </w:r>
      <w:r w:rsidR="00D5561C">
        <w:t xml:space="preserve">the </w:t>
      </w:r>
      <w:r>
        <w:t>E</w:t>
      </w:r>
      <w:r w:rsidR="00D5561C">
        <w:t>OR has issue with any part of the job description</w:t>
      </w:r>
      <w:r w:rsidR="008E2624">
        <w:t xml:space="preserve"> or WFI with the cost/mark-up</w:t>
      </w:r>
      <w:r w:rsidR="00D5561C">
        <w:t>, adjustments can be made</w:t>
      </w:r>
      <w:r w:rsidR="008E2624">
        <w:t xml:space="preserve"> prior</w:t>
      </w:r>
      <w:r w:rsidR="003D0C7D">
        <w:t xml:space="preserve"> to</w:t>
      </w:r>
      <w:r w:rsidR="008E2624">
        <w:t xml:space="preserve"> finalizing the new hire</w:t>
      </w:r>
      <w:r w:rsidR="00812FE6">
        <w:t xml:space="preserve"> job description</w:t>
      </w:r>
      <w:r w:rsidR="008E2624">
        <w:t xml:space="preserve"> and worksite agreement. </w:t>
      </w:r>
      <w:r w:rsidR="00D5561C">
        <w:t xml:space="preserve"> </w:t>
      </w:r>
      <w:r w:rsidR="008E2624">
        <w:t xml:space="preserve">If driving a vehicle is a general issue, </w:t>
      </w:r>
      <w:r>
        <w:t>the Worksite Agreement can be modified to include this</w:t>
      </w:r>
      <w:r w:rsidR="008E2624">
        <w:t xml:space="preserve"> as an</w:t>
      </w:r>
      <w:r>
        <w:t xml:space="preserve"> exclusion or </w:t>
      </w:r>
      <w:r>
        <w:lastRenderedPageBreak/>
        <w:t xml:space="preserve">have a provision for worksite liability in the event they choose to allow an intern to drive a motor vehicle. </w:t>
      </w:r>
    </w:p>
    <w:p w14:paraId="0AE1EE7D" w14:textId="77777777" w:rsidR="00C17B9E" w:rsidRDefault="00C17B9E" w:rsidP="008E2624">
      <w:pPr>
        <w:pStyle w:val="ListParagraph"/>
        <w:ind w:left="1440"/>
      </w:pPr>
    </w:p>
    <w:p w14:paraId="53B9EAC7" w14:textId="39446DCB" w:rsidR="007667EA" w:rsidRDefault="00C17B9E" w:rsidP="008E2624">
      <w:pPr>
        <w:pStyle w:val="ListParagraph"/>
        <w:ind w:left="1440"/>
      </w:pPr>
      <w:r>
        <w:t xml:space="preserve">Note: In our past-experience, normally companies do not allow “non-employees” to drive </w:t>
      </w:r>
      <w:r w:rsidR="00817F4B">
        <w:t xml:space="preserve">company </w:t>
      </w:r>
      <w:r>
        <w:t>vehicles</w:t>
      </w:r>
      <w:r w:rsidR="00817F4B">
        <w:t>, even if age 18 or older.</w:t>
      </w:r>
    </w:p>
    <w:p w14:paraId="51FE6960" w14:textId="77777777" w:rsidR="008E2624" w:rsidRPr="00D5561C" w:rsidRDefault="008E2624" w:rsidP="008E2624">
      <w:pPr>
        <w:pStyle w:val="ListParagraph"/>
        <w:ind w:left="1440"/>
      </w:pPr>
    </w:p>
    <w:p w14:paraId="531C5E6D" w14:textId="77777777" w:rsidR="00D5561C" w:rsidRDefault="00FF1EE3" w:rsidP="00FF1EE3">
      <w:pPr>
        <w:pStyle w:val="ListParagraph"/>
        <w:numPr>
          <w:ilvl w:val="0"/>
          <w:numId w:val="1"/>
        </w:numPr>
        <w:rPr>
          <w:b/>
          <w:bCs/>
        </w:rPr>
      </w:pPr>
      <w:r w:rsidRPr="00FF1EE3">
        <w:rPr>
          <w:b/>
          <w:bCs/>
        </w:rPr>
        <w:t>Will any interns be passengers in vehicles while on the clock?</w:t>
      </w:r>
    </w:p>
    <w:p w14:paraId="04468830" w14:textId="4D201E73" w:rsidR="00812FE6" w:rsidRDefault="00812FE6" w:rsidP="00535AAB">
      <w:pPr>
        <w:pStyle w:val="ListParagraph"/>
        <w:numPr>
          <w:ilvl w:val="1"/>
          <w:numId w:val="1"/>
        </w:numPr>
      </w:pPr>
      <w:r>
        <w:t>WFI does not</w:t>
      </w:r>
      <w:r w:rsidRPr="00D5561C">
        <w:t xml:space="preserve"> restrict </w:t>
      </w:r>
      <w:r>
        <w:t>interns f</w:t>
      </w:r>
      <w:r w:rsidRPr="00D5561C">
        <w:t xml:space="preserve">rom </w:t>
      </w:r>
      <w:r>
        <w:t xml:space="preserve">being passengers in vehicles while on the clock as this is a decision of the worksite.  </w:t>
      </w:r>
      <w:r w:rsidR="000E170B">
        <w:t xml:space="preserve">This would be included in the job description.  </w:t>
      </w:r>
      <w:r>
        <w:t xml:space="preserve">WFI will </w:t>
      </w:r>
      <w:r w:rsidRPr="00D5561C">
        <w:t>submit</w:t>
      </w:r>
      <w:r>
        <w:t xml:space="preserve"> the</w:t>
      </w:r>
      <w:r w:rsidRPr="00D5561C">
        <w:t xml:space="preserve"> </w:t>
      </w:r>
      <w:r>
        <w:t xml:space="preserve">intern’s individualized </w:t>
      </w:r>
      <w:r w:rsidRPr="00D5561C">
        <w:t xml:space="preserve">job description to the new EOR </w:t>
      </w:r>
      <w:r w:rsidRPr="00C17B9E">
        <w:rPr>
          <w:u w:val="single"/>
        </w:rPr>
        <w:t>prior to</w:t>
      </w:r>
      <w:r w:rsidRPr="00D5561C">
        <w:t xml:space="preserve"> hir</w:t>
      </w:r>
      <w:r>
        <w:t>ing</w:t>
      </w:r>
      <w:r w:rsidRPr="00D5561C">
        <w:t xml:space="preserve">.  </w:t>
      </w:r>
      <w:r>
        <w:t xml:space="preserve">The EOR will assign the workers compensation code/classification and provide WFI with the cost/mark-up for that specific code.  </w:t>
      </w:r>
      <w:r w:rsidRPr="00D5561C">
        <w:t xml:space="preserve">If </w:t>
      </w:r>
      <w:r>
        <w:t xml:space="preserve">the EOR has issue with any part of the job description or WFI with the cost/mark-up, adjustments can be made prior </w:t>
      </w:r>
      <w:r w:rsidR="003D0C7D">
        <w:t xml:space="preserve">to </w:t>
      </w:r>
      <w:r>
        <w:t xml:space="preserve">finalizing the new hire job description and worksite agreement.  </w:t>
      </w:r>
      <w:bookmarkStart w:id="1" w:name="_Hlk165367544"/>
      <w:r>
        <w:t>If being a passenger in a worksite vehicle is a general issue, t</w:t>
      </w:r>
      <w:r w:rsidR="0087094E">
        <w:t>he Worksite Agreement can be modified to include this exclusion or have a provision for worksite liability in the event they choose to transport an intern.</w:t>
      </w:r>
    </w:p>
    <w:p w14:paraId="6CA4224B" w14:textId="4D298038" w:rsidR="00C17B9E" w:rsidRDefault="00C17B9E" w:rsidP="00C17B9E">
      <w:pPr>
        <w:pStyle w:val="ListParagraph"/>
        <w:ind w:left="1440"/>
      </w:pPr>
    </w:p>
    <w:p w14:paraId="4C28C321" w14:textId="2972D8EE" w:rsidR="00C17B9E" w:rsidRDefault="00C17B9E" w:rsidP="00C17B9E">
      <w:pPr>
        <w:pStyle w:val="ListParagraph"/>
        <w:ind w:left="1440"/>
      </w:pPr>
      <w:r>
        <w:t>Note: In our past-experience this has not been a</w:t>
      </w:r>
      <w:r w:rsidR="00817F4B">
        <w:t>n</w:t>
      </w:r>
      <w:r>
        <w:t xml:space="preserve"> issue.  An example</w:t>
      </w:r>
      <w:r w:rsidR="00817F4B">
        <w:t xml:space="preserve"> of an occasional exception</w:t>
      </w:r>
      <w:r>
        <w:t xml:space="preserve"> might be if an intern is assigned to City Parks and Recreation, and they report to the main office but are working at a different park that day the worksite may transport them.</w:t>
      </w:r>
    </w:p>
    <w:bookmarkEnd w:id="1"/>
    <w:p w14:paraId="308CFC64" w14:textId="216D96FF" w:rsidR="00FF1EE3" w:rsidRPr="0087094E" w:rsidRDefault="00D5561C" w:rsidP="008E2624">
      <w:pPr>
        <w:pStyle w:val="ListParagraph"/>
        <w:ind w:left="1440"/>
      </w:pPr>
      <w:r w:rsidRPr="0087094E">
        <w:t xml:space="preserve">   </w:t>
      </w:r>
      <w:r w:rsidR="00FF1EE3" w:rsidRPr="0087094E">
        <w:t> </w:t>
      </w:r>
    </w:p>
    <w:p w14:paraId="4B48049C" w14:textId="56D91E65" w:rsidR="00FF1EE3" w:rsidRDefault="00FF1EE3" w:rsidP="00FF1EE3">
      <w:pPr>
        <w:pStyle w:val="ListParagraph"/>
        <w:numPr>
          <w:ilvl w:val="0"/>
          <w:numId w:val="1"/>
        </w:numPr>
        <w:rPr>
          <w:b/>
          <w:bCs/>
        </w:rPr>
      </w:pPr>
      <w:r w:rsidRPr="0087094E">
        <w:rPr>
          <w:b/>
          <w:bCs/>
        </w:rPr>
        <w:t>Will any interns be responsible for handling money or marketable securities? </w:t>
      </w:r>
    </w:p>
    <w:p w14:paraId="4E0E94F7" w14:textId="218D6E2D" w:rsidR="000E170B" w:rsidRDefault="008E2624" w:rsidP="00866B45">
      <w:pPr>
        <w:pStyle w:val="ListParagraph"/>
        <w:numPr>
          <w:ilvl w:val="1"/>
          <w:numId w:val="1"/>
        </w:numPr>
      </w:pPr>
      <w:r w:rsidRPr="000E170B">
        <w:t>WFI does not restrict interns from handling money or marketable securities as this is a decision of the worksite.</w:t>
      </w:r>
      <w:r w:rsidR="00812FE6" w:rsidRPr="000E170B">
        <w:t xml:space="preserve">  </w:t>
      </w:r>
      <w:r w:rsidR="000E170B">
        <w:t xml:space="preserve">This would be included in the job description.  WFI will </w:t>
      </w:r>
      <w:r w:rsidR="000E170B" w:rsidRPr="00D5561C">
        <w:t>submit</w:t>
      </w:r>
      <w:r w:rsidR="000E170B">
        <w:t xml:space="preserve"> the</w:t>
      </w:r>
      <w:r w:rsidR="000E170B" w:rsidRPr="00D5561C">
        <w:t xml:space="preserve"> </w:t>
      </w:r>
      <w:r w:rsidR="000E170B">
        <w:t xml:space="preserve">intern’s individualized </w:t>
      </w:r>
      <w:r w:rsidR="000E170B" w:rsidRPr="00D5561C">
        <w:t xml:space="preserve">job description to the new EOR </w:t>
      </w:r>
      <w:r w:rsidR="000E170B" w:rsidRPr="00C17B9E">
        <w:rPr>
          <w:u w:val="single"/>
        </w:rPr>
        <w:t>prior to</w:t>
      </w:r>
      <w:r w:rsidR="000E170B" w:rsidRPr="00D5561C">
        <w:t xml:space="preserve"> hir</w:t>
      </w:r>
      <w:r w:rsidR="000E170B">
        <w:t>ing</w:t>
      </w:r>
      <w:r w:rsidR="000E170B" w:rsidRPr="00D5561C">
        <w:t xml:space="preserve">.  </w:t>
      </w:r>
      <w:r w:rsidR="000E170B">
        <w:t xml:space="preserve">The EOR will assign the workers compensation code/classification and provide WFI with the cost/mark-up for that specific code.  </w:t>
      </w:r>
      <w:r w:rsidR="000E170B" w:rsidRPr="00D5561C">
        <w:t xml:space="preserve">If </w:t>
      </w:r>
      <w:r w:rsidR="000E170B">
        <w:t xml:space="preserve">the EOR has issue with any part of the job description or WFI with the cost/mark-up, adjustments can be made prior </w:t>
      </w:r>
      <w:r w:rsidR="003D0C7D">
        <w:t xml:space="preserve">to </w:t>
      </w:r>
      <w:r w:rsidR="000E170B">
        <w:t>finalizing the new hire job description and worksite agreement.   If handling money or marketable securities is a general issue, the Worksite Agreement can be modified to include this exclusion or have a provision for worksite liability in the event they choose to allow this function.</w:t>
      </w:r>
    </w:p>
    <w:p w14:paraId="32DC5437" w14:textId="49979586" w:rsidR="00C17B9E" w:rsidRDefault="00C17B9E" w:rsidP="00C17B9E">
      <w:pPr>
        <w:pStyle w:val="ListParagraph"/>
        <w:ind w:left="1440"/>
      </w:pPr>
    </w:p>
    <w:p w14:paraId="575023D3" w14:textId="196B7801" w:rsidR="00C17B9E" w:rsidRDefault="00C17B9E" w:rsidP="00C17B9E">
      <w:pPr>
        <w:pStyle w:val="ListParagraph"/>
        <w:ind w:left="1440"/>
      </w:pPr>
      <w:r>
        <w:t xml:space="preserve">Note: In our past-experience, normally companies do not allow “non-employees” to handle money. </w:t>
      </w:r>
    </w:p>
    <w:p w14:paraId="5F86EE51" w14:textId="77777777" w:rsidR="000E170B" w:rsidRDefault="000E170B" w:rsidP="000E170B"/>
    <w:p w14:paraId="185980CD" w14:textId="257B825A" w:rsidR="00FF1EE3" w:rsidRDefault="00FF1EE3" w:rsidP="00FF1EE3">
      <w:pPr>
        <w:pStyle w:val="ListParagraph"/>
        <w:numPr>
          <w:ilvl w:val="0"/>
          <w:numId w:val="1"/>
        </w:numPr>
        <w:rPr>
          <w:b/>
          <w:bCs/>
        </w:rPr>
      </w:pPr>
      <w:r w:rsidRPr="00FF1EE3">
        <w:rPr>
          <w:b/>
          <w:bCs/>
        </w:rPr>
        <w:lastRenderedPageBreak/>
        <w:t>Will any interns be working over 3ft above the ground as part of their duties? </w:t>
      </w:r>
    </w:p>
    <w:p w14:paraId="34C19C24" w14:textId="693FA8C1" w:rsidR="000E170B" w:rsidRDefault="000E170B" w:rsidP="00B57CC4">
      <w:pPr>
        <w:pStyle w:val="ListParagraph"/>
        <w:numPr>
          <w:ilvl w:val="1"/>
          <w:numId w:val="1"/>
        </w:numPr>
      </w:pPr>
      <w:r>
        <w:t xml:space="preserve">WFI </w:t>
      </w:r>
      <w:r w:rsidRPr="000E170B">
        <w:t xml:space="preserve">does not restrict </w:t>
      </w:r>
      <w:r w:rsidR="00C17B9E" w:rsidRPr="00C17B9E">
        <w:rPr>
          <w:u w:val="single"/>
        </w:rPr>
        <w:t>a</w:t>
      </w:r>
      <w:r w:rsidRPr="00C17B9E">
        <w:rPr>
          <w:u w:val="single"/>
        </w:rPr>
        <w:t>dults 18 or older</w:t>
      </w:r>
      <w:r>
        <w:t xml:space="preserve"> </w:t>
      </w:r>
      <w:r w:rsidRPr="000E170B">
        <w:t xml:space="preserve">from </w:t>
      </w:r>
      <w:r>
        <w:t xml:space="preserve">working over 3 feet above the ground </w:t>
      </w:r>
      <w:r w:rsidRPr="000E170B">
        <w:t xml:space="preserve">as this is a decision of the worksite.  </w:t>
      </w:r>
      <w:r>
        <w:t xml:space="preserve">This would be included in the job description.  WFI will </w:t>
      </w:r>
      <w:r w:rsidRPr="00D5561C">
        <w:t>submit</w:t>
      </w:r>
      <w:r>
        <w:t xml:space="preserve"> the</w:t>
      </w:r>
      <w:r w:rsidRPr="00D5561C">
        <w:t xml:space="preserve"> </w:t>
      </w:r>
      <w:r>
        <w:t xml:space="preserve">intern’s individualized </w:t>
      </w:r>
      <w:r w:rsidRPr="00D5561C">
        <w:t xml:space="preserve">job description to the new EOR </w:t>
      </w:r>
      <w:r w:rsidRPr="00C17B9E">
        <w:rPr>
          <w:u w:val="single"/>
        </w:rPr>
        <w:t>prior to</w:t>
      </w:r>
      <w:r w:rsidRPr="00D5561C">
        <w:t xml:space="preserve"> hir</w:t>
      </w:r>
      <w:r>
        <w:t>ing</w:t>
      </w:r>
      <w:r w:rsidRPr="00D5561C">
        <w:t xml:space="preserve">.  </w:t>
      </w:r>
      <w:r>
        <w:t xml:space="preserve">The EOR will assign the workers compensation code/classification and provide WFI with the cost/mark-up for that specific code.  </w:t>
      </w:r>
      <w:r w:rsidRPr="00D5561C">
        <w:t xml:space="preserve">If </w:t>
      </w:r>
      <w:r>
        <w:t>the EOR has issue with any part of the job description or WFI with the cost/mark-up, adjustments can be made prior</w:t>
      </w:r>
      <w:r w:rsidR="003D0C7D">
        <w:t xml:space="preserve"> to</w:t>
      </w:r>
      <w:r>
        <w:t xml:space="preserve"> finalizing the new hire job description and worksite agreement.  If working over 3 feet above the ground is a general issue, the Worksite Agreement can be modified to include this exclusion or have a provision for worksite liability in the event they choose to allow this function.</w:t>
      </w:r>
    </w:p>
    <w:p w14:paraId="634C7EBC" w14:textId="41CD6C1F" w:rsidR="00C17B9E" w:rsidRDefault="00C17B9E" w:rsidP="00C17B9E">
      <w:pPr>
        <w:pStyle w:val="ListParagraph"/>
        <w:ind w:left="1440"/>
      </w:pPr>
    </w:p>
    <w:p w14:paraId="00B9C020" w14:textId="0A81EEAC" w:rsidR="00817F4B" w:rsidRDefault="00817F4B" w:rsidP="00C17B9E">
      <w:pPr>
        <w:pStyle w:val="ListParagraph"/>
        <w:ind w:left="1440"/>
      </w:pPr>
      <w:r>
        <w:t xml:space="preserve">Note: In our past-experience this has been very limited.  For example, a school system may employ an intern to help clean and paint the classrooms in the summer.  There is a supervisor onsite and worksite safety precautions are taken as with their own employees.  Again, this would be for only adults 18 and over. </w:t>
      </w:r>
    </w:p>
    <w:p w14:paraId="0E44842D" w14:textId="63DE25F1" w:rsidR="000E170B" w:rsidRPr="000E170B" w:rsidRDefault="000E170B" w:rsidP="000E170B">
      <w:pPr>
        <w:tabs>
          <w:tab w:val="left" w:pos="1665"/>
        </w:tabs>
      </w:pPr>
    </w:p>
    <w:p w14:paraId="3CAF00A1" w14:textId="655A288E" w:rsidR="00FF1EE3" w:rsidRPr="00FF1EE3" w:rsidRDefault="00FF1EE3" w:rsidP="00FF1EE3">
      <w:pPr>
        <w:pStyle w:val="ListParagraph"/>
        <w:numPr>
          <w:ilvl w:val="0"/>
          <w:numId w:val="1"/>
        </w:numPr>
        <w:rPr>
          <w:b/>
          <w:bCs/>
        </w:rPr>
      </w:pPr>
      <w:r w:rsidRPr="00FF1EE3">
        <w:rPr>
          <w:b/>
          <w:bCs/>
        </w:rPr>
        <w:t>Will any interns be allowed to provide medical services to patients/residents as part of their duties?</w:t>
      </w:r>
    </w:p>
    <w:p w14:paraId="76344301" w14:textId="77777777" w:rsidR="00FF1EE3" w:rsidRPr="00A464E4" w:rsidRDefault="00FF1EE3" w:rsidP="00FF1EE3">
      <w:pPr>
        <w:pStyle w:val="ListParagraph"/>
        <w:rPr>
          <w:rFonts w:ascii="Cambria" w:hAnsi="Cambria"/>
          <w:b/>
          <w:bCs/>
          <w:sz w:val="22"/>
          <w:szCs w:val="22"/>
        </w:rPr>
      </w:pPr>
    </w:p>
    <w:p w14:paraId="3C924340" w14:textId="282CD2EB" w:rsidR="000E170B" w:rsidRDefault="000E170B" w:rsidP="003907A9">
      <w:pPr>
        <w:pStyle w:val="ListParagraph"/>
        <w:numPr>
          <w:ilvl w:val="1"/>
          <w:numId w:val="1"/>
        </w:numPr>
      </w:pPr>
      <w:r w:rsidRPr="000E170B">
        <w:t xml:space="preserve">WFI does not restrict interns from </w:t>
      </w:r>
      <w:r>
        <w:t xml:space="preserve">providing medical services to patients/residents </w:t>
      </w:r>
      <w:r w:rsidRPr="000E170B">
        <w:t xml:space="preserve">as this is a decision of the worksite.  </w:t>
      </w:r>
      <w:r>
        <w:t xml:space="preserve">This would be included in the job description.  WFI will </w:t>
      </w:r>
      <w:r w:rsidRPr="00D5561C">
        <w:t>submit</w:t>
      </w:r>
      <w:r>
        <w:t xml:space="preserve"> the</w:t>
      </w:r>
      <w:r w:rsidRPr="00D5561C">
        <w:t xml:space="preserve"> </w:t>
      </w:r>
      <w:r>
        <w:t xml:space="preserve">intern’s individualized </w:t>
      </w:r>
      <w:r w:rsidRPr="00D5561C">
        <w:t xml:space="preserve">job description to the new EOR </w:t>
      </w:r>
      <w:r w:rsidRPr="00817F4B">
        <w:rPr>
          <w:u w:val="single"/>
        </w:rPr>
        <w:t>prior to</w:t>
      </w:r>
      <w:r w:rsidRPr="00D5561C">
        <w:t xml:space="preserve"> hir</w:t>
      </w:r>
      <w:r>
        <w:t>ing</w:t>
      </w:r>
      <w:r w:rsidRPr="00D5561C">
        <w:t xml:space="preserve">.  </w:t>
      </w:r>
      <w:r>
        <w:t xml:space="preserve">The EOR will assign the workers compensation code/classification and provide WFI with the cost/mark-up for that specific code.  </w:t>
      </w:r>
      <w:r w:rsidRPr="00D5561C">
        <w:t xml:space="preserve">If </w:t>
      </w:r>
      <w:r>
        <w:t>the EOR has issue with any part of the job description or WFI with the cost/mark-up, adjustments can be made prior finalizing the new hire job description and worksite agreement.   If providing medical services to patients/residents is a general issue, the Worksite Agreement can be modified to include this exclusion or have a provision for worksite liability in the event they choose to allow this function.</w:t>
      </w:r>
    </w:p>
    <w:p w14:paraId="5AA44195" w14:textId="6A74E484" w:rsidR="00817F4B" w:rsidRDefault="00817F4B" w:rsidP="00817F4B">
      <w:pPr>
        <w:pStyle w:val="ListParagraph"/>
        <w:ind w:left="1440"/>
      </w:pPr>
    </w:p>
    <w:p w14:paraId="216F91AB" w14:textId="6AB1CB34" w:rsidR="00817F4B" w:rsidRDefault="00817F4B" w:rsidP="00817F4B">
      <w:pPr>
        <w:pStyle w:val="ListParagraph"/>
        <w:ind w:left="1440"/>
      </w:pPr>
      <w:r>
        <w:t>Note: In our past-experience, interns do not generally provide “medical” services since they are not licensed to do so.  Although in a medical facility, most jobs would be clerical, receptionist, stocking/supplying, janitorial, or assisting the patient/resident.</w:t>
      </w:r>
    </w:p>
    <w:p w14:paraId="5D169193" w14:textId="628EFD6D" w:rsidR="1E67EC14" w:rsidRPr="00B56004" w:rsidRDefault="1E67EC14" w:rsidP="1E67EC14">
      <w:pPr>
        <w:rPr>
          <w:rFonts w:ascii="Montserrat" w:hAnsi="Montserrat"/>
          <w:color w:val="006B54"/>
          <w:sz w:val="20"/>
          <w:szCs w:val="20"/>
        </w:rPr>
      </w:pPr>
    </w:p>
    <w:sectPr w:rsidR="1E67EC14" w:rsidRPr="00B56004" w:rsidSect="00321E58">
      <w:headerReference w:type="even" r:id="rId11"/>
      <w:headerReference w:type="default" r:id="rId12"/>
      <w:footerReference w:type="even" r:id="rId13"/>
      <w:footerReference w:type="default" r:id="rId14"/>
      <w:headerReference w:type="first" r:id="rId15"/>
      <w:pgSz w:w="12240" w:h="15840"/>
      <w:pgMar w:top="1417" w:right="1701" w:bottom="1417" w:left="1701" w:header="708" w:footer="2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5C7C0" w14:textId="77777777" w:rsidR="003C4B91" w:rsidRDefault="003C4B91" w:rsidP="000A010E">
      <w:r>
        <w:separator/>
      </w:r>
    </w:p>
  </w:endnote>
  <w:endnote w:type="continuationSeparator" w:id="0">
    <w:p w14:paraId="395C25AC" w14:textId="77777777" w:rsidR="003C4B91" w:rsidRDefault="003C4B91" w:rsidP="000A0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391AF" w14:textId="71515209" w:rsidR="000B69F2" w:rsidRDefault="000B69F2" w:rsidP="008E10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1B17CF5" w14:textId="77777777" w:rsidR="00321E58" w:rsidRDefault="00321E58" w:rsidP="000B69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Montserrat" w:hAnsi="Montserrat"/>
        <w:color w:val="006B55"/>
        <w:sz w:val="16"/>
        <w:szCs w:val="16"/>
      </w:rPr>
      <w:id w:val="164063120"/>
      <w:docPartObj>
        <w:docPartGallery w:val="Page Numbers (Bottom of Page)"/>
        <w:docPartUnique/>
      </w:docPartObj>
    </w:sdtPr>
    <w:sdtEndPr>
      <w:rPr>
        <w:rStyle w:val="PageNumber"/>
      </w:rPr>
    </w:sdtEndPr>
    <w:sdtContent>
      <w:p w14:paraId="46D50486" w14:textId="35CA0AEA" w:rsidR="000B69F2" w:rsidRPr="000B69F2" w:rsidRDefault="000B69F2" w:rsidP="000C2136">
        <w:pPr>
          <w:pStyle w:val="Footer"/>
          <w:framePr w:w="226" w:wrap="none" w:vAnchor="text" w:hAnchor="page" w:x="10868" w:y="107"/>
          <w:rPr>
            <w:rStyle w:val="PageNumber"/>
            <w:rFonts w:ascii="Montserrat" w:hAnsi="Montserrat"/>
            <w:color w:val="006B55"/>
            <w:sz w:val="16"/>
            <w:szCs w:val="16"/>
          </w:rPr>
        </w:pPr>
        <w:r w:rsidRPr="000B69F2">
          <w:rPr>
            <w:rStyle w:val="PageNumber"/>
            <w:rFonts w:ascii="Montserrat" w:hAnsi="Montserrat"/>
            <w:color w:val="006B55"/>
            <w:sz w:val="16"/>
            <w:szCs w:val="16"/>
          </w:rPr>
          <w:fldChar w:fldCharType="begin"/>
        </w:r>
        <w:r w:rsidRPr="000B69F2">
          <w:rPr>
            <w:rStyle w:val="PageNumber"/>
            <w:rFonts w:ascii="Montserrat" w:hAnsi="Montserrat"/>
            <w:color w:val="006B55"/>
            <w:sz w:val="16"/>
            <w:szCs w:val="16"/>
          </w:rPr>
          <w:instrText xml:space="preserve"> PAGE </w:instrText>
        </w:r>
        <w:r w:rsidRPr="000B69F2">
          <w:rPr>
            <w:rStyle w:val="PageNumber"/>
            <w:rFonts w:ascii="Montserrat" w:hAnsi="Montserrat"/>
            <w:color w:val="006B55"/>
            <w:sz w:val="16"/>
            <w:szCs w:val="16"/>
          </w:rPr>
          <w:fldChar w:fldCharType="separate"/>
        </w:r>
        <w:r w:rsidRPr="000B69F2">
          <w:rPr>
            <w:rStyle w:val="PageNumber"/>
            <w:rFonts w:ascii="Montserrat" w:hAnsi="Montserrat"/>
            <w:noProof/>
            <w:color w:val="006B55"/>
            <w:sz w:val="16"/>
            <w:szCs w:val="16"/>
          </w:rPr>
          <w:t>1</w:t>
        </w:r>
        <w:r w:rsidRPr="000B69F2">
          <w:rPr>
            <w:rStyle w:val="PageNumber"/>
            <w:rFonts w:ascii="Montserrat" w:hAnsi="Montserrat"/>
            <w:color w:val="006B55"/>
            <w:sz w:val="16"/>
            <w:szCs w:val="16"/>
          </w:rPr>
          <w:fldChar w:fldCharType="end"/>
        </w:r>
      </w:p>
    </w:sdtContent>
  </w:sdt>
  <w:tbl>
    <w:tblPr>
      <w:tblStyle w:val="TableGrid"/>
      <w:tblW w:w="10021" w:type="dxa"/>
      <w:tblInd w:w="-670" w:type="dxa"/>
      <w:tblLook w:val="04A0" w:firstRow="1" w:lastRow="0" w:firstColumn="1" w:lastColumn="0" w:noHBand="0" w:noVBand="1"/>
    </w:tblPr>
    <w:tblGrid>
      <w:gridCol w:w="6052"/>
      <w:gridCol w:w="1984"/>
      <w:gridCol w:w="1560"/>
      <w:gridCol w:w="425"/>
    </w:tblGrid>
    <w:tr w:rsidR="000B69F2" w14:paraId="5EC52090" w14:textId="05FF3CE8" w:rsidTr="009F6A94">
      <w:trPr>
        <w:trHeight w:val="415"/>
      </w:trPr>
      <w:tc>
        <w:tcPr>
          <w:tcW w:w="6052" w:type="dxa"/>
          <w:tcBorders>
            <w:top w:val="single" w:sz="4" w:space="0" w:color="FFFFFF"/>
            <w:left w:val="single" w:sz="4" w:space="0" w:color="FFFFFF"/>
            <w:bottom w:val="single" w:sz="4" w:space="0" w:color="FFFFFF"/>
            <w:right w:val="single" w:sz="4" w:space="0" w:color="FFFFFF" w:themeColor="background1"/>
          </w:tcBorders>
          <w:tcMar>
            <w:left w:w="0" w:type="dxa"/>
            <w:right w:w="0" w:type="dxa"/>
          </w:tcMar>
          <w:vAlign w:val="center"/>
        </w:tcPr>
        <w:p w14:paraId="6DCA2758" w14:textId="6CF24C3A" w:rsidR="000B69F2" w:rsidRPr="00604CC3" w:rsidRDefault="00604CC3" w:rsidP="000B69F2">
          <w:pPr>
            <w:pStyle w:val="Footer"/>
            <w:tabs>
              <w:tab w:val="clear" w:pos="8838"/>
            </w:tabs>
            <w:ind w:right="360"/>
            <w:rPr>
              <w:rFonts w:ascii="Montserrat" w:hAnsi="Montserrat"/>
            </w:rPr>
          </w:pPr>
          <w:r w:rsidRPr="00604CC3">
            <w:rPr>
              <w:rFonts w:ascii="Montserrat" w:hAnsi="Montserrat"/>
              <w:color w:val="FFC000"/>
              <w:sz w:val="18"/>
              <w:szCs w:val="18"/>
            </w:rPr>
            <w:t>#</w:t>
          </w:r>
          <w:r w:rsidRPr="00E6344B">
            <w:rPr>
              <w:rFonts w:ascii="Montserrat" w:hAnsi="Montserrat"/>
              <w:color w:val="F4930E"/>
              <w:sz w:val="18"/>
              <w:szCs w:val="18"/>
            </w:rPr>
            <w:t>theTPMAway</w:t>
          </w:r>
        </w:p>
      </w:tc>
      <w:tc>
        <w:tcPr>
          <w:tcW w:w="1984" w:type="dxa"/>
          <w:tcBorders>
            <w:top w:val="single" w:sz="4" w:space="0" w:color="FFFFFF"/>
            <w:left w:val="single" w:sz="4" w:space="0" w:color="FFFFFF" w:themeColor="background1"/>
            <w:bottom w:val="single" w:sz="4" w:space="0" w:color="FFFFFF"/>
            <w:right w:val="single" w:sz="4" w:space="0" w:color="FFFFFF"/>
          </w:tcBorders>
          <w:tcMar>
            <w:left w:w="142" w:type="dxa"/>
          </w:tcMar>
          <w:vAlign w:val="center"/>
        </w:tcPr>
        <w:p w14:paraId="7F544417" w14:textId="042E3A60" w:rsidR="000B69F2" w:rsidRDefault="000B69F2" w:rsidP="00321E58">
          <w:pPr>
            <w:pStyle w:val="Footer"/>
            <w:tabs>
              <w:tab w:val="clear" w:pos="8838"/>
            </w:tabs>
            <w:ind w:right="-518"/>
          </w:pPr>
        </w:p>
      </w:tc>
      <w:tc>
        <w:tcPr>
          <w:tcW w:w="1560" w:type="dxa"/>
          <w:tcBorders>
            <w:top w:val="single" w:sz="4" w:space="0" w:color="FFFFFF"/>
            <w:left w:val="single" w:sz="4" w:space="0" w:color="FFFFFF"/>
            <w:bottom w:val="single" w:sz="4" w:space="0" w:color="FFFFFF"/>
            <w:right w:val="single" w:sz="4" w:space="0" w:color="BFBFBF" w:themeColor="background1" w:themeShade="BF"/>
          </w:tcBorders>
          <w:tcMar>
            <w:left w:w="198" w:type="dxa"/>
          </w:tcMar>
          <w:vAlign w:val="center"/>
        </w:tcPr>
        <w:p w14:paraId="56224909" w14:textId="4DFA83E6" w:rsidR="000B69F2" w:rsidRDefault="000B69F2" w:rsidP="00321E58">
          <w:pPr>
            <w:pStyle w:val="Footer"/>
            <w:tabs>
              <w:tab w:val="clear" w:pos="8838"/>
            </w:tabs>
            <w:ind w:right="-518"/>
          </w:pPr>
        </w:p>
      </w:tc>
      <w:tc>
        <w:tcPr>
          <w:tcW w:w="425" w:type="dxa"/>
          <w:tcBorders>
            <w:top w:val="single" w:sz="4" w:space="0" w:color="FFFFFF"/>
            <w:left w:val="single" w:sz="4" w:space="0" w:color="BFBFBF" w:themeColor="background1" w:themeShade="BF"/>
            <w:bottom w:val="single" w:sz="4" w:space="0" w:color="FFFFFF"/>
            <w:right w:val="single" w:sz="4" w:space="0" w:color="FFFFFF"/>
          </w:tcBorders>
          <w:vAlign w:val="center"/>
        </w:tcPr>
        <w:p w14:paraId="2BD03513" w14:textId="2430C22F" w:rsidR="000B69F2" w:rsidRPr="00321E58" w:rsidRDefault="000B69F2" w:rsidP="00321E58">
          <w:pPr>
            <w:pStyle w:val="Footer"/>
            <w:tabs>
              <w:tab w:val="clear" w:pos="8838"/>
            </w:tabs>
            <w:ind w:right="-518"/>
            <w:rPr>
              <w:rFonts w:ascii="Montserrat" w:hAnsi="Montserrat" w:cs="Times New Roman"/>
              <w:color w:val="006B55"/>
              <w:kern w:val="0"/>
              <w:sz w:val="16"/>
              <w:szCs w:val="16"/>
              <w:lang w:val="es-MX"/>
            </w:rPr>
          </w:pPr>
        </w:p>
      </w:tc>
    </w:tr>
  </w:tbl>
  <w:p w14:paraId="792FB3BB" w14:textId="77777777" w:rsidR="00321E58" w:rsidRDefault="00321E58" w:rsidP="00321E58">
    <w:pPr>
      <w:pStyle w:val="Footer"/>
      <w:tabs>
        <w:tab w:val="clear" w:pos="8838"/>
      </w:tabs>
      <w:ind w:right="-5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98511" w14:textId="77777777" w:rsidR="003C4B91" w:rsidRDefault="003C4B91" w:rsidP="000A010E">
      <w:r>
        <w:separator/>
      </w:r>
    </w:p>
  </w:footnote>
  <w:footnote w:type="continuationSeparator" w:id="0">
    <w:p w14:paraId="231BFEF5" w14:textId="77777777" w:rsidR="003C4B91" w:rsidRDefault="003C4B91" w:rsidP="000A0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0DAB7" w14:textId="66CF65BF" w:rsidR="005238B4" w:rsidRDefault="00792B18">
    <w:pPr>
      <w:pStyle w:val="Header"/>
    </w:pPr>
    <w:r>
      <w:rPr>
        <w:noProof/>
      </w:rPr>
      <w:pict w14:anchorId="3D7F3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85399" o:spid="_x0000_s1027" type="#_x0000_t75" alt="" style="position:absolute;margin-left:0;margin-top:0;width:620pt;height:590pt;z-index:-251651072;mso-wrap-edited:f;mso-width-percent:0;mso-height-percent:0;mso-position-horizontal:center;mso-position-horizontal-relative:margin;mso-position-vertical:center;mso-position-vertical-relative:margin;mso-width-percent:0;mso-height-percent:0" o:allowincell="f">
          <v:imagedata r:id="rId1" o:title="TPMA_test_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714" w:type="dxa"/>
      <w:tblBorders>
        <w:top w:val="single" w:sz="4" w:space="0" w:color="01342E"/>
        <w:left w:val="single" w:sz="4" w:space="0" w:color="01342E"/>
        <w:bottom w:val="single" w:sz="4" w:space="0" w:color="01342E"/>
        <w:right w:val="single" w:sz="4" w:space="0" w:color="01342E"/>
        <w:insideH w:val="single" w:sz="4" w:space="0" w:color="01342E"/>
        <w:insideV w:val="single" w:sz="4" w:space="0" w:color="01342E"/>
      </w:tblBorders>
      <w:tblLook w:val="04A0" w:firstRow="1" w:lastRow="0" w:firstColumn="1" w:lastColumn="0" w:noHBand="0" w:noVBand="1"/>
    </w:tblPr>
    <w:tblGrid>
      <w:gridCol w:w="10084"/>
      <w:gridCol w:w="16"/>
      <w:gridCol w:w="16"/>
    </w:tblGrid>
    <w:tr w:rsidR="009F6A94" w:rsidRPr="004C3E41" w14:paraId="68F31FAB" w14:textId="01F15BE3" w:rsidTr="009F6A94">
      <w:trPr>
        <w:trHeight w:val="840"/>
      </w:trPr>
      <w:tc>
        <w:tcPr>
          <w:tcW w:w="34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tbl>
          <w:tblPr>
            <w:tblStyle w:val="TableGrid"/>
            <w:tblW w:w="10064" w:type="dxa"/>
            <w:tblBorders>
              <w:top w:val="single" w:sz="4" w:space="0" w:color="01342E"/>
              <w:left w:val="single" w:sz="4" w:space="0" w:color="01342E"/>
              <w:bottom w:val="single" w:sz="4" w:space="0" w:color="01342E"/>
              <w:right w:val="single" w:sz="4" w:space="0" w:color="01342E"/>
              <w:insideH w:val="single" w:sz="4" w:space="0" w:color="01342E"/>
              <w:insideV w:val="single" w:sz="4" w:space="0" w:color="01342E"/>
            </w:tblBorders>
            <w:tblLook w:val="04A0" w:firstRow="1" w:lastRow="0" w:firstColumn="1" w:lastColumn="0" w:noHBand="0" w:noVBand="1"/>
          </w:tblPr>
          <w:tblGrid>
            <w:gridCol w:w="2570"/>
            <w:gridCol w:w="3137"/>
            <w:gridCol w:w="2085"/>
            <w:gridCol w:w="2272"/>
          </w:tblGrid>
          <w:tr w:rsidR="004860B4" w:rsidRPr="004C3E41" w14:paraId="78AB2F34" w14:textId="77777777" w:rsidTr="002D6340">
            <w:trPr>
              <w:trHeight w:val="840"/>
            </w:trPr>
            <w:tc>
              <w:tcPr>
                <w:tcW w:w="25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14:paraId="24EB6236" w14:textId="77777777" w:rsidR="004860B4" w:rsidRDefault="004860B4" w:rsidP="004860B4">
                <w:pPr>
                  <w:pStyle w:val="Header"/>
                </w:pPr>
                <w:r>
                  <w:rPr>
                    <w:noProof/>
                  </w:rPr>
                  <w:drawing>
                    <wp:inline distT="0" distB="0" distL="0" distR="0" wp14:anchorId="5A3ED2A1" wp14:editId="37234454">
                      <wp:extent cx="1621482" cy="571500"/>
                      <wp:effectExtent l="0" t="0" r="4445" b="0"/>
                      <wp:docPr id="801136616" name="Picture 801136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44338" cy="579556"/>
                              </a:xfrm>
                              <a:prstGeom prst="rect">
                                <a:avLst/>
                              </a:prstGeom>
                            </pic:spPr>
                          </pic:pic>
                        </a:graphicData>
                      </a:graphic>
                    </wp:inline>
                  </w:drawing>
                </w:r>
              </w:p>
            </w:tc>
            <w:tc>
              <w:tcPr>
                <w:tcW w:w="31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14:paraId="75236949" w14:textId="77777777" w:rsidR="004860B4" w:rsidRPr="009F6A94" w:rsidRDefault="004860B4" w:rsidP="004860B4">
                <w:pPr>
                  <w:autoSpaceDE w:val="0"/>
                  <w:autoSpaceDN w:val="0"/>
                  <w:adjustRightInd w:val="0"/>
                  <w:spacing w:after="160" w:line="259" w:lineRule="auto"/>
                  <w:jc w:val="right"/>
                  <w:rPr>
                    <w:rFonts w:ascii="Montserrat" w:hAnsi="Montserrat" w:cs="Times New Roman"/>
                    <w:color w:val="006B55"/>
                    <w:kern w:val="0"/>
                    <w:sz w:val="16"/>
                    <w:szCs w:val="16"/>
                  </w:rPr>
                </w:pPr>
                <w:r>
                  <w:rPr>
                    <w:rFonts w:ascii="Montserrat" w:hAnsi="Montserrat" w:cs="Times New Roman"/>
                    <w:color w:val="006B55"/>
                    <w:kern w:val="0"/>
                    <w:sz w:val="16"/>
                    <w:szCs w:val="16"/>
                  </w:rPr>
                  <w:t>Find us at:</w:t>
                </w:r>
                <w:r>
                  <w:rPr>
                    <w:rFonts w:ascii="Montserrat" w:hAnsi="Montserrat" w:cs="Times New Roman"/>
                    <w:color w:val="006B55"/>
                    <w:kern w:val="0"/>
                    <w:sz w:val="16"/>
                    <w:szCs w:val="16"/>
                  </w:rPr>
                  <w:br/>
                </w:r>
                <w:r w:rsidRPr="00550707">
                  <w:rPr>
                    <w:rFonts w:ascii="Montserrat" w:hAnsi="Montserrat" w:cs="Times New Roman"/>
                    <w:color w:val="006B55"/>
                    <w:kern w:val="0"/>
                    <w:sz w:val="16"/>
                    <w:szCs w:val="16"/>
                  </w:rPr>
                  <w:t>1250 Indiana Avenue</w:t>
                </w:r>
                <w:r>
                  <w:rPr>
                    <w:rFonts w:ascii="Montserrat" w:hAnsi="Montserrat" w:cs="Times New Roman"/>
                    <w:color w:val="006B55"/>
                    <w:kern w:val="0"/>
                    <w:sz w:val="16"/>
                    <w:szCs w:val="16"/>
                  </w:rPr>
                  <w:br/>
                </w:r>
                <w:r w:rsidRPr="00550707">
                  <w:rPr>
                    <w:rFonts w:ascii="Montserrat" w:hAnsi="Montserrat" w:cs="Times New Roman"/>
                    <w:color w:val="006B55"/>
                    <w:kern w:val="0"/>
                    <w:sz w:val="16"/>
                    <w:szCs w:val="16"/>
                  </w:rPr>
                  <w:t>Indianapolis, IN 46202</w:t>
                </w:r>
                <w:r>
                  <w:rPr>
                    <w:rFonts w:ascii="Montserrat" w:hAnsi="Montserrat" w:cs="Times New Roman"/>
                    <w:color w:val="006B55"/>
                    <w:kern w:val="0"/>
                    <w:sz w:val="16"/>
                    <w:szCs w:val="16"/>
                  </w:rPr>
                  <w:t xml:space="preserve"> </w:t>
                </w:r>
                <w:r w:rsidRPr="004C3E41">
                  <w:rPr>
                    <w:rFonts w:ascii="Montserrat" w:hAnsi="Montserrat" w:cs="Times New Roman"/>
                    <w:color w:val="006B55"/>
                    <w:kern w:val="0"/>
                    <w:sz w:val="16"/>
                    <w:szCs w:val="16"/>
                  </w:rPr>
                  <w:t xml:space="preserve"> </w:t>
                </w:r>
              </w:p>
            </w:tc>
            <w:tc>
              <w:tcPr>
                <w:tcW w:w="20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8B1425" w14:textId="77777777" w:rsidR="004860B4" w:rsidRPr="00ED4B61" w:rsidRDefault="004860B4" w:rsidP="004860B4">
                <w:pPr>
                  <w:autoSpaceDE w:val="0"/>
                  <w:autoSpaceDN w:val="0"/>
                  <w:adjustRightInd w:val="0"/>
                  <w:jc w:val="right"/>
                  <w:rPr>
                    <w:rFonts w:ascii="Montserrat" w:hAnsi="Montserrat" w:cs="Times New Roman"/>
                    <w:color w:val="006B55"/>
                    <w:kern w:val="0"/>
                    <w:sz w:val="16"/>
                    <w:szCs w:val="16"/>
                  </w:rPr>
                </w:pPr>
                <w:r>
                  <w:rPr>
                    <w:rFonts w:ascii="Montserrat" w:hAnsi="Montserrat" w:cs="Times New Roman"/>
                    <w:color w:val="006B55"/>
                    <w:kern w:val="0"/>
                    <w:sz w:val="16"/>
                    <w:szCs w:val="16"/>
                  </w:rPr>
                  <w:br/>
                  <w:t>P.O. Box 881011</w:t>
                </w:r>
                <w:r>
                  <w:rPr>
                    <w:rFonts w:ascii="Montserrat" w:hAnsi="Montserrat" w:cs="Times New Roman"/>
                    <w:color w:val="006B55"/>
                    <w:kern w:val="0"/>
                    <w:sz w:val="16"/>
                    <w:szCs w:val="16"/>
                  </w:rPr>
                  <w:br/>
                </w:r>
                <w:r w:rsidRPr="00550707">
                  <w:rPr>
                    <w:rFonts w:ascii="Montserrat" w:hAnsi="Montserrat" w:cs="Times New Roman"/>
                    <w:color w:val="006B55"/>
                    <w:kern w:val="0"/>
                    <w:sz w:val="16"/>
                    <w:szCs w:val="16"/>
                  </w:rPr>
                  <w:t>Indianapolis, IN 46202</w:t>
                </w:r>
                <w:r>
                  <w:rPr>
                    <w:rFonts w:ascii="Montserrat" w:hAnsi="Montserrat" w:cs="Times New Roman"/>
                    <w:color w:val="006B55"/>
                    <w:kern w:val="0"/>
                    <w:sz w:val="16"/>
                    <w:szCs w:val="16"/>
                  </w:rPr>
                  <w:t xml:space="preserve"> </w:t>
                </w:r>
                <w:r w:rsidRPr="004C3E41">
                  <w:rPr>
                    <w:rFonts w:ascii="Montserrat" w:hAnsi="Montserrat" w:cs="Times New Roman"/>
                    <w:color w:val="006B55"/>
                    <w:kern w:val="0"/>
                    <w:sz w:val="16"/>
                    <w:szCs w:val="16"/>
                  </w:rPr>
                  <w:t xml:space="preserve"> </w:t>
                </w:r>
              </w:p>
            </w:tc>
            <w:tc>
              <w:tcPr>
                <w:tcW w:w="22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14:paraId="7490CEBE" w14:textId="77777777" w:rsidR="004860B4" w:rsidRPr="004C3E41" w:rsidRDefault="004860B4" w:rsidP="004860B4">
                <w:pPr>
                  <w:autoSpaceDE w:val="0"/>
                  <w:autoSpaceDN w:val="0"/>
                  <w:adjustRightInd w:val="0"/>
                  <w:jc w:val="right"/>
                  <w:rPr>
                    <w:rFonts w:ascii="Montserrat" w:hAnsi="Montserrat" w:cs="Times New Roman"/>
                    <w:color w:val="006B55"/>
                    <w:kern w:val="0"/>
                    <w:sz w:val="16"/>
                    <w:szCs w:val="16"/>
                  </w:rPr>
                </w:pPr>
                <w:r w:rsidRPr="004C3E41">
                  <w:rPr>
                    <w:rFonts w:ascii="Montserrat" w:hAnsi="Montserrat" w:cs="Times New Roman"/>
                    <w:color w:val="006B55"/>
                    <w:kern w:val="0"/>
                    <w:sz w:val="16"/>
                    <w:szCs w:val="16"/>
                  </w:rPr>
                  <w:t>www.tpma-inc.com</w:t>
                </w:r>
              </w:p>
              <w:p w14:paraId="7258402A" w14:textId="77777777" w:rsidR="004860B4" w:rsidRPr="004C3E41" w:rsidRDefault="004860B4" w:rsidP="004860B4">
                <w:pPr>
                  <w:autoSpaceDE w:val="0"/>
                  <w:autoSpaceDN w:val="0"/>
                  <w:adjustRightInd w:val="0"/>
                  <w:jc w:val="right"/>
                  <w:rPr>
                    <w:rFonts w:ascii="Montserrat" w:hAnsi="Montserrat" w:cs="Times New Roman"/>
                    <w:color w:val="006B55"/>
                    <w:kern w:val="0"/>
                    <w:sz w:val="16"/>
                    <w:szCs w:val="16"/>
                  </w:rPr>
                </w:pPr>
                <w:r w:rsidRPr="004C3E41">
                  <w:rPr>
                    <w:rFonts w:ascii="Montserrat" w:hAnsi="Montserrat" w:cs="Times New Roman"/>
                    <w:color w:val="006B55"/>
                    <w:kern w:val="0"/>
                    <w:sz w:val="16"/>
                    <w:szCs w:val="16"/>
                  </w:rPr>
                  <w:t>info@tpma-inc.com</w:t>
                </w:r>
              </w:p>
              <w:p w14:paraId="3EA26FE3" w14:textId="77777777" w:rsidR="004860B4" w:rsidRPr="00706FBB" w:rsidRDefault="004860B4" w:rsidP="004860B4">
                <w:pPr>
                  <w:autoSpaceDE w:val="0"/>
                  <w:autoSpaceDN w:val="0"/>
                  <w:adjustRightInd w:val="0"/>
                  <w:jc w:val="right"/>
                  <w:rPr>
                    <w:rFonts w:ascii="Montserrat" w:hAnsi="Montserrat" w:cs="Times New Roman"/>
                    <w:color w:val="006B55"/>
                    <w:kern w:val="0"/>
                    <w:sz w:val="16"/>
                    <w:szCs w:val="16"/>
                  </w:rPr>
                </w:pPr>
                <w:r w:rsidRPr="004C3E41">
                  <w:rPr>
                    <w:rFonts w:ascii="Montserrat" w:hAnsi="Montserrat" w:cs="Times New Roman"/>
                    <w:color w:val="006B55"/>
                    <w:kern w:val="0"/>
                    <w:sz w:val="16"/>
                    <w:szCs w:val="16"/>
                    <w:lang w:val="es-MX"/>
                  </w:rPr>
                  <w:t>317-894-5508</w:t>
                </w:r>
                <w:r w:rsidRPr="004C3E41">
                  <w:rPr>
                    <w:rFonts w:ascii="Montserrat" w:hAnsi="Montserrat" w:cs="Times New Roman"/>
                    <w:color w:val="006B55"/>
                    <w:kern w:val="0"/>
                    <w:sz w:val="16"/>
                    <w:szCs w:val="16"/>
                  </w:rPr>
                  <w:t xml:space="preserve">    </w:t>
                </w:r>
              </w:p>
            </w:tc>
          </w:tr>
        </w:tbl>
        <w:p w14:paraId="4555B2B5" w14:textId="0C57F1FE" w:rsidR="009F6A94" w:rsidRDefault="009F6A94">
          <w:pPr>
            <w:pStyle w:val="Header"/>
          </w:pPr>
        </w:p>
      </w:tc>
      <w:tc>
        <w:tcPr>
          <w:tcW w:w="3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14:paraId="03B59A75" w14:textId="4624C9A1" w:rsidR="009F6A94" w:rsidRPr="009F6A94" w:rsidRDefault="009F6A94" w:rsidP="00604CC3">
          <w:pPr>
            <w:autoSpaceDE w:val="0"/>
            <w:autoSpaceDN w:val="0"/>
            <w:adjustRightInd w:val="0"/>
            <w:jc w:val="right"/>
            <w:rPr>
              <w:rFonts w:ascii="Montserrat" w:hAnsi="Montserrat" w:cs="Times New Roman"/>
              <w:color w:val="006B55"/>
              <w:kern w:val="0"/>
              <w:sz w:val="16"/>
              <w:szCs w:val="16"/>
            </w:rPr>
          </w:pP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14:paraId="235ED03C" w14:textId="41F90AA6" w:rsidR="009F6A94" w:rsidRPr="00706FBB" w:rsidRDefault="009F6A94" w:rsidP="004C3E41">
          <w:pPr>
            <w:autoSpaceDE w:val="0"/>
            <w:autoSpaceDN w:val="0"/>
            <w:adjustRightInd w:val="0"/>
            <w:jc w:val="right"/>
            <w:rPr>
              <w:rFonts w:ascii="Montserrat" w:hAnsi="Montserrat" w:cs="Times New Roman"/>
              <w:color w:val="006B55"/>
              <w:kern w:val="0"/>
              <w:sz w:val="16"/>
              <w:szCs w:val="16"/>
            </w:rPr>
          </w:pPr>
        </w:p>
      </w:tc>
    </w:tr>
  </w:tbl>
  <w:p w14:paraId="1159105D" w14:textId="2542A03E" w:rsidR="000A010E" w:rsidRPr="009F6A94" w:rsidRDefault="00792B18">
    <w:pPr>
      <w:pStyle w:val="Header"/>
    </w:pPr>
    <w:r>
      <w:rPr>
        <w:noProof/>
      </w:rPr>
      <w:pict w14:anchorId="080A2E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85400" o:spid="_x0000_s1026" type="#_x0000_t75" alt="" style="position:absolute;margin-left:0;margin-top:0;width:620pt;height:590pt;z-index:-251648000;mso-wrap-edited:f;mso-width-percent:0;mso-height-percent:0;mso-position-horizontal:center;mso-position-horizontal-relative:margin;mso-position-vertical:center;mso-position-vertical-relative:margin;mso-width-percent:0;mso-height-percent:0" o:allowincell="f">
          <v:imagedata r:id="rId2" o:title="TPMA_test_3" gain="19661f" blacklevel="22938f"/>
          <w10:wrap anchorx="margin" anchory="margin"/>
        </v:shape>
      </w:pict>
    </w:r>
  </w:p>
  <w:p w14:paraId="7891883E" w14:textId="6B640899" w:rsidR="00706FBB" w:rsidRPr="009F6A94" w:rsidRDefault="009F6A94" w:rsidP="00706FBB">
    <w:pPr>
      <w:pStyle w:val="Header"/>
      <w:tabs>
        <w:tab w:val="clear" w:pos="8838"/>
      </w:tabs>
      <w:ind w:left="-709" w:right="-518"/>
    </w:pPr>
    <w:r>
      <w:rPr>
        <w:noProof/>
      </w:rPr>
      <mc:AlternateContent>
        <mc:Choice Requires="wps">
          <w:drawing>
            <wp:anchor distT="0" distB="0" distL="114300" distR="114300" simplePos="0" relativeHeight="251659264" behindDoc="0" locked="0" layoutInCell="1" allowOverlap="1" wp14:anchorId="77AACA2B" wp14:editId="0EC9B3AF">
              <wp:simplePos x="0" y="0"/>
              <wp:positionH relativeFrom="column">
                <wp:posOffset>-447090</wp:posOffset>
              </wp:positionH>
              <wp:positionV relativeFrom="paragraph">
                <wp:posOffset>116596</wp:posOffset>
              </wp:positionV>
              <wp:extent cx="6291385" cy="0"/>
              <wp:effectExtent l="0" t="0" r="8255" b="12700"/>
              <wp:wrapNone/>
              <wp:docPr id="2" name="Conector recto 2"/>
              <wp:cNvGraphicFramePr/>
              <a:graphic xmlns:a="http://schemas.openxmlformats.org/drawingml/2006/main">
                <a:graphicData uri="http://schemas.microsoft.com/office/word/2010/wordprocessingShape">
                  <wps:wsp>
                    <wps:cNvCnPr/>
                    <wps:spPr>
                      <a:xfrm>
                        <a:off x="0" y="0"/>
                        <a:ext cx="6291385" cy="0"/>
                      </a:xfrm>
                      <a:prstGeom prst="line">
                        <a:avLst/>
                      </a:prstGeom>
                      <a:ln>
                        <a:solidFill>
                          <a:schemeClr val="tx2">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a14="http://schemas.microsoft.com/office/drawing/2010/main" xmlns:pic="http://schemas.openxmlformats.org/drawingml/2006/picture" xmlns:a="http://schemas.openxmlformats.org/drawingml/2006/main" xmlns:w16du="http://schemas.microsoft.com/office/word/2023/wordml/word16du">
          <w:pict>
            <v:line id="Conector recto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3b4b3 [1311]" strokeweight=".5pt" from="-35.2pt,9.2pt" to="460.2pt,9.2pt" w14:anchorId="012F5B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">
              <v:stroke joinstyle="miter"/>
            </v:line>
          </w:pict>
        </mc:Fallback>
      </mc:AlternateContent>
    </w:r>
  </w:p>
  <w:p w14:paraId="7DD0C1E8" w14:textId="77777777" w:rsidR="00706FBB" w:rsidRPr="009F6A94" w:rsidRDefault="00706F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9CE8" w14:textId="55C52898" w:rsidR="005238B4" w:rsidRDefault="00792B18">
    <w:pPr>
      <w:pStyle w:val="Header"/>
    </w:pPr>
    <w:r>
      <w:rPr>
        <w:noProof/>
      </w:rPr>
      <w:pict w14:anchorId="07B322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85398" o:spid="_x0000_s1025" type="#_x0000_t75" alt="" style="position:absolute;margin-left:0;margin-top:0;width:620pt;height:590pt;z-index:-251654144;mso-wrap-edited:f;mso-width-percent:0;mso-height-percent:0;mso-position-horizontal:center;mso-position-horizontal-relative:margin;mso-position-vertical:center;mso-position-vertical-relative:margin;mso-width-percent:0;mso-height-percent:0" o:allowincell="f">
          <v:imagedata r:id="rId1" o:title="TPMA_test_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3F39"/>
    <w:multiLevelType w:val="hybridMultilevel"/>
    <w:tmpl w:val="6E2643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3378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E92"/>
    <w:rsid w:val="00060FF3"/>
    <w:rsid w:val="000A010E"/>
    <w:rsid w:val="000A15F7"/>
    <w:rsid w:val="000B69F2"/>
    <w:rsid w:val="000C2136"/>
    <w:rsid w:val="000E170B"/>
    <w:rsid w:val="001F0E92"/>
    <w:rsid w:val="00321E58"/>
    <w:rsid w:val="003B153D"/>
    <w:rsid w:val="003C4B91"/>
    <w:rsid w:val="003D0C7D"/>
    <w:rsid w:val="0045287A"/>
    <w:rsid w:val="004860B4"/>
    <w:rsid w:val="004C3E41"/>
    <w:rsid w:val="005238B4"/>
    <w:rsid w:val="00604CC3"/>
    <w:rsid w:val="006267C6"/>
    <w:rsid w:val="00706FBB"/>
    <w:rsid w:val="00726671"/>
    <w:rsid w:val="007667EA"/>
    <w:rsid w:val="00792B18"/>
    <w:rsid w:val="007C2210"/>
    <w:rsid w:val="00812FE6"/>
    <w:rsid w:val="00817F4B"/>
    <w:rsid w:val="0087094E"/>
    <w:rsid w:val="00872467"/>
    <w:rsid w:val="008E2624"/>
    <w:rsid w:val="00947162"/>
    <w:rsid w:val="009F6A94"/>
    <w:rsid w:val="00A35A8B"/>
    <w:rsid w:val="00A464E4"/>
    <w:rsid w:val="00A7771D"/>
    <w:rsid w:val="00B56004"/>
    <w:rsid w:val="00B6433B"/>
    <w:rsid w:val="00C17B9E"/>
    <w:rsid w:val="00D5561C"/>
    <w:rsid w:val="00E6344B"/>
    <w:rsid w:val="00E97C89"/>
    <w:rsid w:val="00EF7CCE"/>
    <w:rsid w:val="00FA7BA2"/>
    <w:rsid w:val="00FF1EE3"/>
    <w:rsid w:val="00FF5AEE"/>
    <w:rsid w:val="03EF7672"/>
    <w:rsid w:val="1E67EC14"/>
    <w:rsid w:val="303F94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6DB15"/>
  <w15:chartTrackingRefBased/>
  <w15:docId w15:val="{2E635332-67F3-4E4D-A985-4042BB3C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0A010E"/>
    <w:pPr>
      <w:keepNext/>
      <w:keepLines/>
      <w:spacing w:before="240"/>
      <w:outlineLvl w:val="0"/>
    </w:pPr>
    <w:rPr>
      <w:rFonts w:asciiTheme="majorHAnsi" w:eastAsiaTheme="majorEastAsia" w:hAnsiTheme="majorHAnsi" w:cstheme="majorBidi"/>
      <w:color w:val="00503F"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10E"/>
    <w:rPr>
      <w:rFonts w:asciiTheme="majorHAnsi" w:eastAsiaTheme="majorEastAsia" w:hAnsiTheme="majorHAnsi" w:cstheme="majorBidi"/>
      <w:color w:val="00503F" w:themeColor="accent1" w:themeShade="BF"/>
      <w:sz w:val="32"/>
      <w:szCs w:val="32"/>
    </w:rPr>
  </w:style>
  <w:style w:type="paragraph" w:styleId="Header">
    <w:name w:val="header"/>
    <w:basedOn w:val="Normal"/>
    <w:link w:val="HeaderChar"/>
    <w:uiPriority w:val="99"/>
    <w:unhideWhenUsed/>
    <w:rsid w:val="000A010E"/>
    <w:pPr>
      <w:tabs>
        <w:tab w:val="center" w:pos="4419"/>
        <w:tab w:val="right" w:pos="8838"/>
      </w:tabs>
    </w:pPr>
  </w:style>
  <w:style w:type="character" w:customStyle="1" w:styleId="HeaderChar">
    <w:name w:val="Header Char"/>
    <w:basedOn w:val="DefaultParagraphFont"/>
    <w:link w:val="Header"/>
    <w:uiPriority w:val="99"/>
    <w:rsid w:val="000A010E"/>
  </w:style>
  <w:style w:type="paragraph" w:styleId="Footer">
    <w:name w:val="footer"/>
    <w:basedOn w:val="Normal"/>
    <w:link w:val="FooterChar"/>
    <w:uiPriority w:val="99"/>
    <w:unhideWhenUsed/>
    <w:rsid w:val="000A010E"/>
    <w:pPr>
      <w:tabs>
        <w:tab w:val="center" w:pos="4419"/>
        <w:tab w:val="right" w:pos="8838"/>
      </w:tabs>
    </w:pPr>
  </w:style>
  <w:style w:type="character" w:customStyle="1" w:styleId="FooterChar">
    <w:name w:val="Footer Char"/>
    <w:basedOn w:val="DefaultParagraphFont"/>
    <w:link w:val="Footer"/>
    <w:uiPriority w:val="99"/>
    <w:rsid w:val="000A010E"/>
  </w:style>
  <w:style w:type="table" w:styleId="TableGrid">
    <w:name w:val="Table Grid"/>
    <w:basedOn w:val="TableNormal"/>
    <w:uiPriority w:val="39"/>
    <w:rsid w:val="000A0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B69F2"/>
  </w:style>
  <w:style w:type="character" w:styleId="Hyperlink">
    <w:name w:val="Hyperlink"/>
    <w:basedOn w:val="DefaultParagraphFont"/>
    <w:uiPriority w:val="99"/>
    <w:unhideWhenUsed/>
    <w:rsid w:val="000C2136"/>
    <w:rPr>
      <w:color w:val="C9D833" w:themeColor="hyperlink"/>
      <w:u w:val="single"/>
    </w:rPr>
  </w:style>
  <w:style w:type="character" w:styleId="UnresolvedMention">
    <w:name w:val="Unresolved Mention"/>
    <w:basedOn w:val="DefaultParagraphFont"/>
    <w:uiPriority w:val="99"/>
    <w:semiHidden/>
    <w:unhideWhenUsed/>
    <w:rsid w:val="000C2136"/>
    <w:rPr>
      <w:color w:val="605E5C"/>
      <w:shd w:val="clear" w:color="auto" w:fill="E1DFDD"/>
    </w:rPr>
  </w:style>
  <w:style w:type="paragraph" w:styleId="ListParagraph">
    <w:name w:val="List Paragraph"/>
    <w:basedOn w:val="Normal"/>
    <w:uiPriority w:val="34"/>
    <w:qFormat/>
    <w:rsid w:val="00B56004"/>
    <w:pPr>
      <w:ind w:left="720"/>
      <w:contextualSpacing/>
    </w:pPr>
  </w:style>
  <w:style w:type="paragraph" w:styleId="NoSpacing">
    <w:name w:val="No Spacing"/>
    <w:uiPriority w:val="1"/>
    <w:qFormat/>
    <w:rsid w:val="00792B1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44175">
      <w:bodyDiv w:val="1"/>
      <w:marLeft w:val="0"/>
      <w:marRight w:val="0"/>
      <w:marTop w:val="0"/>
      <w:marBottom w:val="0"/>
      <w:divBdr>
        <w:top w:val="none" w:sz="0" w:space="0" w:color="auto"/>
        <w:left w:val="none" w:sz="0" w:space="0" w:color="auto"/>
        <w:bottom w:val="none" w:sz="0" w:space="0" w:color="auto"/>
        <w:right w:val="none" w:sz="0" w:space="0" w:color="auto"/>
      </w:divBdr>
    </w:div>
    <w:div w:id="592251752">
      <w:bodyDiv w:val="1"/>
      <w:marLeft w:val="0"/>
      <w:marRight w:val="0"/>
      <w:marTop w:val="0"/>
      <w:marBottom w:val="0"/>
      <w:divBdr>
        <w:top w:val="none" w:sz="0" w:space="0" w:color="auto"/>
        <w:left w:val="none" w:sz="0" w:space="0" w:color="auto"/>
        <w:bottom w:val="none" w:sz="0" w:space="0" w:color="auto"/>
        <w:right w:val="none" w:sz="0" w:space="0" w:color="auto"/>
      </w:divBdr>
    </w:div>
    <w:div w:id="109794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procurement@tpma-inc.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PMA">
      <a:dk1>
        <a:srgbClr val="000000"/>
      </a:dk1>
      <a:lt1>
        <a:srgbClr val="FFFFFF"/>
      </a:lt1>
      <a:dk2>
        <a:srgbClr val="434443"/>
      </a:dk2>
      <a:lt2>
        <a:srgbClr val="F3F5F3"/>
      </a:lt2>
      <a:accent1>
        <a:srgbClr val="006B55"/>
      </a:accent1>
      <a:accent2>
        <a:srgbClr val="01342E"/>
      </a:accent2>
      <a:accent3>
        <a:srgbClr val="1B7FF0"/>
      </a:accent3>
      <a:accent4>
        <a:srgbClr val="4F7889"/>
      </a:accent4>
      <a:accent5>
        <a:srgbClr val="50A64D"/>
      </a:accent5>
      <a:accent6>
        <a:srgbClr val="8DC63F"/>
      </a:accent6>
      <a:hlink>
        <a:srgbClr val="C9D833"/>
      </a:hlink>
      <a:folHlink>
        <a:srgbClr val="F3930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76BA89B445B4598FF9381A0E17530" ma:contentTypeVersion="16" ma:contentTypeDescription="Create a new document." ma:contentTypeScope="" ma:versionID="74137cb8bd5502ca9d5766f6ade0d5a1">
  <xsd:schema xmlns:xsd="http://www.w3.org/2001/XMLSchema" xmlns:xs="http://www.w3.org/2001/XMLSchema" xmlns:p="http://schemas.microsoft.com/office/2006/metadata/properties" xmlns:ns2="7990f817-f1e8-4d72-bff5-d873325348ca" xmlns:ns3="3b5de7a6-99cc-4493-84b3-4c9bfc13d49d" targetNamespace="http://schemas.microsoft.com/office/2006/metadata/properties" ma:root="true" ma:fieldsID="9a89a67b546cce2907775352f887294f" ns2:_="" ns3:_="">
    <xsd:import namespace="7990f817-f1e8-4d72-bff5-d873325348ca"/>
    <xsd:import namespace="3b5de7a6-99cc-4493-84b3-4c9bfc13d4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0f817-f1e8-4d72-bff5-d873325348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9edf89-136b-452d-ae93-cff7665ed6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5de7a6-99cc-4493-84b3-4c9bfc13d49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62630a6-4b73-48d2-90a7-3221b92a4fe0}" ma:internalName="TaxCatchAll" ma:showField="CatchAllData" ma:web="3b5de7a6-99cc-4493-84b3-4c9bfc13d4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b5de7a6-99cc-4493-84b3-4c9bfc13d49d" xsi:nil="true"/>
    <lcf76f155ced4ddcb4097134ff3c332f xmlns="7990f817-f1e8-4d72-bff5-d873325348c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576C21-413F-45E1-B522-4483FA5ED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0f817-f1e8-4d72-bff5-d873325348ca"/>
    <ds:schemaRef ds:uri="3b5de7a6-99cc-4493-84b3-4c9bfc13d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C132DE-F0C2-4E8F-9D07-2CE7BACD6A03}">
  <ds:schemaRefs>
    <ds:schemaRef ds:uri="http://schemas.microsoft.com/office/2006/metadata/properties"/>
    <ds:schemaRef ds:uri="http://schemas.microsoft.com/office/infopath/2007/PartnerControls"/>
    <ds:schemaRef ds:uri="3b5de7a6-99cc-4493-84b3-4c9bfc13d49d"/>
    <ds:schemaRef ds:uri="7990f817-f1e8-4d72-bff5-d873325348ca"/>
  </ds:schemaRefs>
</ds:datastoreItem>
</file>

<file path=customXml/itemProps3.xml><?xml version="1.0" encoding="utf-8"?>
<ds:datastoreItem xmlns:ds="http://schemas.openxmlformats.org/officeDocument/2006/customXml" ds:itemID="{DB609C92-8005-4FE3-AA52-B45F712E7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1466</Words>
  <Characters>8362</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Narváez</dc:creator>
  <cp:keywords/>
  <dc:description/>
  <cp:lastModifiedBy>Prater, Margaret</cp:lastModifiedBy>
  <cp:revision>2</cp:revision>
  <dcterms:created xsi:type="dcterms:W3CDTF">2024-04-30T19:37:00Z</dcterms:created>
  <dcterms:modified xsi:type="dcterms:W3CDTF">2024-04-30T19:37:00Z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0x0101009F676BA89B445B4598FF9381A0E17530</vt:lpwstr>
  </property>
  <property fmtid="{D5CDD505-2E9C-101B-9397-08002B2CF9AE}" pid="3" name="MediaServiceImageTags">
    <vt:lpwstr/>
  </property>
</Properties>
</file>