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8CE84" w14:textId="77777777" w:rsidR="00CA5570" w:rsidRPr="00CA5570" w:rsidRDefault="00CA5570" w:rsidP="00CA5570">
      <w:pPr>
        <w:ind w:left="-709" w:right="-518"/>
        <w:rPr>
          <w:rFonts w:ascii="Montserrat" w:hAnsi="Montserrat"/>
          <w:b/>
          <w:bCs/>
          <w:color w:val="006B55" w:themeColor="accent1"/>
          <w:sz w:val="20"/>
          <w:szCs w:val="20"/>
          <w:lang w:val="en-US"/>
        </w:rPr>
      </w:pPr>
      <w:r w:rsidRPr="00CA5570">
        <w:rPr>
          <w:rFonts w:ascii="Montserrat" w:hAnsi="Montserrat"/>
          <w:b/>
          <w:bCs/>
          <w:color w:val="006B55" w:themeColor="accent1"/>
          <w:sz w:val="20"/>
          <w:szCs w:val="20"/>
          <w:lang w:val="en-US"/>
        </w:rPr>
        <w:t>1.</w:t>
      </w:r>
      <w:r w:rsidRPr="00CA5570">
        <w:rPr>
          <w:rFonts w:ascii="Montserrat" w:hAnsi="Montserrat"/>
          <w:b/>
          <w:bCs/>
          <w:color w:val="006B55" w:themeColor="accent1"/>
          <w:sz w:val="20"/>
          <w:szCs w:val="20"/>
          <w:lang w:val="en-US"/>
        </w:rPr>
        <w:tab/>
        <w:t>How much time is the Hybrid OSO expected to spend in the respective Workforce Area?</w:t>
      </w:r>
    </w:p>
    <w:p w14:paraId="01E26C37" w14:textId="77777777" w:rsidR="00CA5570" w:rsidRDefault="00CA5570" w:rsidP="00CA5570">
      <w:pPr>
        <w:ind w:left="-709" w:right="-518"/>
        <w:rPr>
          <w:rFonts w:ascii="Montserrat" w:hAnsi="Montserrat"/>
          <w:sz w:val="20"/>
          <w:szCs w:val="20"/>
          <w:lang w:val="en-US"/>
        </w:rPr>
      </w:pPr>
    </w:p>
    <w:p w14:paraId="41978C3F" w14:textId="26D2D92D" w:rsidR="00CA5570" w:rsidRPr="00CA5570" w:rsidRDefault="00CA5570" w:rsidP="00CA5570">
      <w:pPr>
        <w:ind w:left="-709" w:right="-518"/>
        <w:rPr>
          <w:rFonts w:ascii="Montserrat" w:hAnsi="Montserrat"/>
          <w:sz w:val="20"/>
          <w:szCs w:val="20"/>
          <w:lang w:val="en-US"/>
        </w:rPr>
      </w:pPr>
      <w:r w:rsidRPr="00CA5570">
        <w:rPr>
          <w:rFonts w:ascii="Montserrat" w:hAnsi="Montserrat"/>
          <w:sz w:val="20"/>
          <w:szCs w:val="20"/>
          <w:lang w:val="en-US"/>
        </w:rPr>
        <w:t xml:space="preserve">Northern Middle and Upper Cumberland would expect a balance of time, depending on events and issues, during each month to allow the OSO to perform assigned duties across both Workforce Areas. The OSO would need to cover as many counties/offices as possible through each month to achieve this balance. The Executive Directors would need to be notified weekly of planned operations and the whereabouts of the OSO. Of course, depending on operational needs, the Executive Directors would understand if the OSO </w:t>
      </w:r>
      <w:proofErr w:type="gramStart"/>
      <w:r w:rsidRPr="00CA5570">
        <w:rPr>
          <w:rFonts w:ascii="Montserrat" w:hAnsi="Montserrat"/>
          <w:sz w:val="20"/>
          <w:szCs w:val="20"/>
          <w:lang w:val="en-US"/>
        </w:rPr>
        <w:t>would need</w:t>
      </w:r>
      <w:proofErr w:type="gramEnd"/>
      <w:r w:rsidRPr="00CA5570">
        <w:rPr>
          <w:rFonts w:ascii="Montserrat" w:hAnsi="Montserrat"/>
          <w:sz w:val="20"/>
          <w:szCs w:val="20"/>
          <w:lang w:val="en-US"/>
        </w:rPr>
        <w:t xml:space="preserve"> to change and modify that calendar from time to time.</w:t>
      </w:r>
    </w:p>
    <w:p w14:paraId="6DEC351C" w14:textId="77777777" w:rsidR="00CA5570" w:rsidRPr="00CA5570" w:rsidRDefault="00CA5570" w:rsidP="00CA5570">
      <w:pPr>
        <w:ind w:left="-709" w:right="-518"/>
        <w:rPr>
          <w:rFonts w:ascii="Montserrat" w:hAnsi="Montserrat"/>
          <w:sz w:val="20"/>
          <w:szCs w:val="20"/>
          <w:lang w:val="en-US"/>
        </w:rPr>
      </w:pPr>
    </w:p>
    <w:p w14:paraId="19BE666A" w14:textId="77777777" w:rsidR="00CA5570" w:rsidRPr="00CA5570" w:rsidRDefault="00CA5570" w:rsidP="00CA5570">
      <w:pPr>
        <w:ind w:left="-709" w:right="-518"/>
        <w:rPr>
          <w:rFonts w:ascii="Montserrat" w:hAnsi="Montserrat"/>
          <w:sz w:val="20"/>
          <w:szCs w:val="20"/>
          <w:lang w:val="en-US"/>
        </w:rPr>
      </w:pPr>
    </w:p>
    <w:p w14:paraId="2F654B63" w14:textId="77777777" w:rsidR="00CA5570" w:rsidRPr="00CA5570" w:rsidRDefault="00CA5570" w:rsidP="00CA5570">
      <w:pPr>
        <w:ind w:left="-709" w:right="-518"/>
        <w:rPr>
          <w:rFonts w:ascii="Montserrat" w:hAnsi="Montserrat"/>
          <w:b/>
          <w:bCs/>
          <w:color w:val="006B55" w:themeColor="accent1"/>
          <w:sz w:val="20"/>
          <w:szCs w:val="20"/>
          <w:lang w:val="en-US"/>
        </w:rPr>
      </w:pPr>
      <w:r w:rsidRPr="00CA5570">
        <w:rPr>
          <w:rFonts w:ascii="Montserrat" w:hAnsi="Montserrat"/>
          <w:b/>
          <w:bCs/>
          <w:color w:val="006B55" w:themeColor="accent1"/>
          <w:sz w:val="20"/>
          <w:szCs w:val="20"/>
          <w:lang w:val="en-US"/>
        </w:rPr>
        <w:t>2.</w:t>
      </w:r>
      <w:r w:rsidRPr="00CA5570">
        <w:rPr>
          <w:rFonts w:ascii="Montserrat" w:hAnsi="Montserrat"/>
          <w:b/>
          <w:bCs/>
          <w:color w:val="006B55" w:themeColor="accent1"/>
          <w:sz w:val="20"/>
          <w:szCs w:val="20"/>
          <w:lang w:val="en-US"/>
        </w:rPr>
        <w:tab/>
        <w:t xml:space="preserve">How much time is the Hybrid OSO expected to spend at the four Comprehensive AJC’s in </w:t>
      </w:r>
    </w:p>
    <w:p w14:paraId="020D1E2E" w14:textId="77777777" w:rsidR="00CA5570" w:rsidRDefault="00CA5570" w:rsidP="00CA5570">
      <w:pPr>
        <w:ind w:left="-709" w:right="-518"/>
        <w:rPr>
          <w:rFonts w:ascii="Montserrat" w:hAnsi="Montserrat"/>
          <w:sz w:val="20"/>
          <w:szCs w:val="20"/>
          <w:lang w:val="en-US"/>
        </w:rPr>
      </w:pPr>
    </w:p>
    <w:p w14:paraId="386BB212" w14:textId="5C09E117" w:rsidR="00CA5570" w:rsidRPr="00CA5570" w:rsidRDefault="00CA5570" w:rsidP="00CA5570">
      <w:pPr>
        <w:ind w:left="-709" w:right="-518"/>
        <w:rPr>
          <w:rFonts w:ascii="Montserrat" w:hAnsi="Montserrat"/>
          <w:sz w:val="20"/>
          <w:szCs w:val="20"/>
          <w:lang w:val="en-US"/>
        </w:rPr>
      </w:pPr>
      <w:r w:rsidRPr="00CA5570">
        <w:rPr>
          <w:rFonts w:ascii="Montserrat" w:hAnsi="Montserrat"/>
          <w:sz w:val="20"/>
          <w:szCs w:val="20"/>
          <w:lang w:val="en-US"/>
        </w:rPr>
        <w:t xml:space="preserve">Northern Middle and the two Comprehensive </w:t>
      </w:r>
      <w:proofErr w:type="gramStart"/>
      <w:r w:rsidRPr="00CA5570">
        <w:rPr>
          <w:rFonts w:ascii="Montserrat" w:hAnsi="Montserrat"/>
          <w:sz w:val="20"/>
          <w:szCs w:val="20"/>
          <w:lang w:val="en-US"/>
        </w:rPr>
        <w:t>AJC’s</w:t>
      </w:r>
      <w:proofErr w:type="gramEnd"/>
      <w:r w:rsidRPr="00CA5570">
        <w:rPr>
          <w:rFonts w:ascii="Montserrat" w:hAnsi="Montserrat"/>
          <w:sz w:val="20"/>
          <w:szCs w:val="20"/>
          <w:lang w:val="en-US"/>
        </w:rPr>
        <w:t xml:space="preserve"> in the Upper Cumberland Area?</w:t>
      </w:r>
    </w:p>
    <w:p w14:paraId="169B33E9" w14:textId="77777777" w:rsidR="00CA5570" w:rsidRPr="00CA5570" w:rsidRDefault="00CA5570" w:rsidP="00CA5570">
      <w:pPr>
        <w:ind w:left="-709" w:right="-518"/>
        <w:rPr>
          <w:rFonts w:ascii="Montserrat" w:hAnsi="Montserrat"/>
          <w:sz w:val="20"/>
          <w:szCs w:val="20"/>
          <w:lang w:val="en-US"/>
        </w:rPr>
      </w:pPr>
      <w:r w:rsidRPr="00CA5570">
        <w:rPr>
          <w:rFonts w:ascii="Montserrat" w:hAnsi="Montserrat"/>
          <w:sz w:val="20"/>
          <w:szCs w:val="20"/>
          <w:lang w:val="en-US"/>
        </w:rPr>
        <w:t xml:space="preserve">Since the Comprehensive </w:t>
      </w:r>
      <w:proofErr w:type="gramStart"/>
      <w:r w:rsidRPr="00CA5570">
        <w:rPr>
          <w:rFonts w:ascii="Montserrat" w:hAnsi="Montserrat"/>
          <w:sz w:val="20"/>
          <w:szCs w:val="20"/>
          <w:lang w:val="en-US"/>
        </w:rPr>
        <w:t>house</w:t>
      </w:r>
      <w:proofErr w:type="gramEnd"/>
      <w:r w:rsidRPr="00CA5570">
        <w:rPr>
          <w:rFonts w:ascii="Montserrat" w:hAnsi="Montserrat"/>
          <w:sz w:val="20"/>
          <w:szCs w:val="20"/>
          <w:lang w:val="en-US"/>
        </w:rPr>
        <w:t xml:space="preserve"> the majority of AJC Staff and partners, it would be expected that the OSO spend the preponderance of their time in the Comprehensive Centers. This would allow the OSO to have the greatest impact on the day-to-day activities of partners, job seekers, and employers. </w:t>
      </w:r>
      <w:proofErr w:type="gramStart"/>
      <w:r w:rsidRPr="00CA5570">
        <w:rPr>
          <w:rFonts w:ascii="Montserrat" w:hAnsi="Montserrat"/>
          <w:sz w:val="20"/>
          <w:szCs w:val="20"/>
          <w:lang w:val="en-US"/>
        </w:rPr>
        <w:t>A possibility</w:t>
      </w:r>
      <w:proofErr w:type="gramEnd"/>
      <w:r w:rsidRPr="00CA5570">
        <w:rPr>
          <w:rFonts w:ascii="Montserrat" w:hAnsi="Montserrat"/>
          <w:sz w:val="20"/>
          <w:szCs w:val="20"/>
          <w:lang w:val="en-US"/>
        </w:rPr>
        <w:t xml:space="preserve"> of establishing a ‘home-based office’ in Rutherford County AJC may, at this time, be the most logical starting point to achieve Workforce Area balance.</w:t>
      </w:r>
    </w:p>
    <w:p w14:paraId="5B231D2D" w14:textId="77777777" w:rsidR="00CA5570" w:rsidRPr="00CA5570" w:rsidRDefault="00CA5570" w:rsidP="00CA5570">
      <w:pPr>
        <w:ind w:left="-709" w:right="-518"/>
        <w:rPr>
          <w:rFonts w:ascii="Montserrat" w:hAnsi="Montserrat"/>
          <w:sz w:val="20"/>
          <w:szCs w:val="20"/>
          <w:lang w:val="en-US"/>
        </w:rPr>
      </w:pPr>
    </w:p>
    <w:p w14:paraId="6D2335A4" w14:textId="77777777" w:rsidR="00CA5570" w:rsidRPr="00CA5570" w:rsidRDefault="00CA5570" w:rsidP="00CA5570">
      <w:pPr>
        <w:ind w:left="-709" w:right="-518"/>
        <w:rPr>
          <w:rFonts w:ascii="Montserrat" w:hAnsi="Montserrat"/>
          <w:sz w:val="20"/>
          <w:szCs w:val="20"/>
          <w:lang w:val="en-US"/>
        </w:rPr>
      </w:pPr>
    </w:p>
    <w:p w14:paraId="7ACDBCCD" w14:textId="77777777" w:rsidR="00CA5570" w:rsidRPr="00CA5570" w:rsidRDefault="00CA5570" w:rsidP="00CA5570">
      <w:pPr>
        <w:ind w:left="-709" w:right="-518"/>
        <w:rPr>
          <w:rFonts w:ascii="Montserrat" w:hAnsi="Montserrat"/>
          <w:b/>
          <w:bCs/>
          <w:color w:val="006B55" w:themeColor="accent1"/>
          <w:sz w:val="20"/>
          <w:szCs w:val="20"/>
          <w:lang w:val="en-US"/>
        </w:rPr>
      </w:pPr>
      <w:r w:rsidRPr="00CA5570">
        <w:rPr>
          <w:rFonts w:ascii="Montserrat" w:hAnsi="Montserrat"/>
          <w:b/>
          <w:bCs/>
          <w:color w:val="006B55" w:themeColor="accent1"/>
          <w:sz w:val="20"/>
          <w:szCs w:val="20"/>
          <w:lang w:val="en-US"/>
        </w:rPr>
        <w:t>3.</w:t>
      </w:r>
      <w:r w:rsidRPr="00CA5570">
        <w:rPr>
          <w:rFonts w:ascii="Montserrat" w:hAnsi="Montserrat"/>
          <w:b/>
          <w:bCs/>
          <w:color w:val="006B55" w:themeColor="accent1"/>
          <w:sz w:val="20"/>
          <w:szCs w:val="20"/>
          <w:lang w:val="en-US"/>
        </w:rPr>
        <w:tab/>
        <w:t>Will the selected provider be billing one local board, or will the provider be submitting an invoice to both local boards?</w:t>
      </w:r>
    </w:p>
    <w:p w14:paraId="052C8086" w14:textId="77777777" w:rsidR="00CA5570" w:rsidRPr="00CA5570" w:rsidRDefault="00CA5570" w:rsidP="00CA5570">
      <w:pPr>
        <w:ind w:left="-709" w:right="-518"/>
        <w:rPr>
          <w:rFonts w:ascii="Montserrat" w:hAnsi="Montserrat"/>
          <w:sz w:val="20"/>
          <w:szCs w:val="20"/>
          <w:lang w:val="en-US"/>
        </w:rPr>
      </w:pPr>
    </w:p>
    <w:p w14:paraId="41D0F7CA" w14:textId="77777777" w:rsidR="00CA5570" w:rsidRPr="00CA5570" w:rsidRDefault="00CA5570" w:rsidP="00CA5570">
      <w:pPr>
        <w:ind w:left="-709" w:right="-518"/>
        <w:rPr>
          <w:rFonts w:ascii="Montserrat" w:hAnsi="Montserrat"/>
          <w:sz w:val="20"/>
          <w:szCs w:val="20"/>
          <w:lang w:val="en-US"/>
        </w:rPr>
      </w:pPr>
      <w:r w:rsidRPr="00CA5570">
        <w:rPr>
          <w:rFonts w:ascii="Montserrat" w:hAnsi="Montserrat"/>
          <w:sz w:val="20"/>
          <w:szCs w:val="20"/>
          <w:lang w:val="en-US"/>
        </w:rPr>
        <w:t>Yes, the prospective provider would be billing Upper Cumberland each month for total costs, and Upper Cumberland would then invoice Northern Middle for their share of the charges. The successful applicant will receive more detailed instructions on invoicing Upper Cumberland and detailing costs that only pertain to one Workforce Area.</w:t>
      </w:r>
    </w:p>
    <w:p w14:paraId="08BEC8D8" w14:textId="77777777" w:rsidR="00CA5570" w:rsidRPr="00CA5570" w:rsidRDefault="00CA5570" w:rsidP="00CA5570">
      <w:pPr>
        <w:ind w:left="-709" w:right="-518"/>
        <w:rPr>
          <w:rFonts w:ascii="Montserrat" w:hAnsi="Montserrat"/>
          <w:sz w:val="20"/>
          <w:szCs w:val="20"/>
          <w:lang w:val="en-US"/>
        </w:rPr>
      </w:pPr>
    </w:p>
    <w:p w14:paraId="1A2BAC63" w14:textId="77777777" w:rsidR="00CA5570" w:rsidRPr="00CA5570" w:rsidRDefault="00CA5570" w:rsidP="00CA5570">
      <w:pPr>
        <w:ind w:left="-709" w:right="-518"/>
        <w:rPr>
          <w:rFonts w:ascii="Montserrat" w:hAnsi="Montserrat"/>
          <w:sz w:val="20"/>
          <w:szCs w:val="20"/>
          <w:lang w:val="en-US"/>
        </w:rPr>
      </w:pPr>
    </w:p>
    <w:p w14:paraId="188101FF" w14:textId="3E49F622" w:rsidR="00CA5570" w:rsidRPr="00CA5570" w:rsidRDefault="00CA5570" w:rsidP="00CA5570">
      <w:pPr>
        <w:ind w:left="-709" w:right="-518"/>
        <w:rPr>
          <w:rFonts w:ascii="Montserrat" w:hAnsi="Montserrat"/>
          <w:b/>
          <w:bCs/>
          <w:color w:val="006B55" w:themeColor="accent1"/>
          <w:sz w:val="20"/>
          <w:szCs w:val="20"/>
          <w:lang w:val="en-US"/>
        </w:rPr>
      </w:pPr>
      <w:r w:rsidRPr="00CA5570">
        <w:rPr>
          <w:rFonts w:ascii="Montserrat" w:hAnsi="Montserrat"/>
          <w:b/>
          <w:bCs/>
          <w:color w:val="006B55" w:themeColor="accent1"/>
          <w:sz w:val="20"/>
          <w:szCs w:val="20"/>
          <w:lang w:val="en-US"/>
        </w:rPr>
        <w:t>4.</w:t>
      </w:r>
      <w:r w:rsidRPr="00CA5570">
        <w:rPr>
          <w:rFonts w:ascii="Montserrat" w:hAnsi="Montserrat"/>
          <w:b/>
          <w:bCs/>
          <w:color w:val="006B55" w:themeColor="accent1"/>
          <w:sz w:val="20"/>
          <w:szCs w:val="20"/>
          <w:lang w:val="en-US"/>
        </w:rPr>
        <w:tab/>
        <w:t xml:space="preserve">Since the OSO is going to be a </w:t>
      </w:r>
      <w:r w:rsidRPr="00CA5570">
        <w:rPr>
          <w:rFonts w:ascii="Montserrat" w:hAnsi="Montserrat"/>
          <w:b/>
          <w:bCs/>
          <w:color w:val="006B55" w:themeColor="accent1"/>
          <w:sz w:val="20"/>
          <w:szCs w:val="20"/>
          <w:lang w:val="en-US"/>
        </w:rPr>
        <w:t>Hybrid, will</w:t>
      </w:r>
      <w:r w:rsidRPr="00CA5570">
        <w:rPr>
          <w:rFonts w:ascii="Montserrat" w:hAnsi="Montserrat"/>
          <w:b/>
          <w:bCs/>
          <w:color w:val="006B55" w:themeColor="accent1"/>
          <w:sz w:val="20"/>
          <w:szCs w:val="20"/>
          <w:lang w:val="en-US"/>
        </w:rPr>
        <w:t xml:space="preserve"> travel be allowed and paid for from one local area to the other local area?</w:t>
      </w:r>
    </w:p>
    <w:p w14:paraId="28C1E7A1" w14:textId="77777777" w:rsidR="00CA5570" w:rsidRPr="00CA5570" w:rsidRDefault="00CA5570" w:rsidP="00CA5570">
      <w:pPr>
        <w:ind w:left="-709" w:right="-518"/>
        <w:rPr>
          <w:rFonts w:ascii="Montserrat" w:hAnsi="Montserrat"/>
          <w:sz w:val="20"/>
          <w:szCs w:val="20"/>
          <w:lang w:val="en-US"/>
        </w:rPr>
      </w:pPr>
    </w:p>
    <w:p w14:paraId="283657AC" w14:textId="77777777" w:rsidR="00CA5570" w:rsidRPr="00CA5570" w:rsidRDefault="00CA5570" w:rsidP="00CA5570">
      <w:pPr>
        <w:ind w:left="-709" w:right="-518"/>
        <w:rPr>
          <w:rFonts w:ascii="Montserrat" w:hAnsi="Montserrat"/>
          <w:sz w:val="20"/>
          <w:szCs w:val="20"/>
          <w:lang w:val="en-US"/>
        </w:rPr>
      </w:pPr>
      <w:r w:rsidRPr="00CA5570">
        <w:rPr>
          <w:rFonts w:ascii="Montserrat" w:hAnsi="Montserrat"/>
          <w:sz w:val="20"/>
          <w:szCs w:val="20"/>
          <w:lang w:val="en-US"/>
        </w:rPr>
        <w:t>Yes, travel will be allowed.  Specific distances to and from centers as well as in and out of workforce areas, will be broken out for reimbursement. See answer #3.</w:t>
      </w:r>
    </w:p>
    <w:p w14:paraId="47CE38A0" w14:textId="77777777" w:rsidR="00CA5570" w:rsidRPr="00CA5570" w:rsidRDefault="00CA5570" w:rsidP="00CA5570">
      <w:pPr>
        <w:ind w:left="-709" w:right="-518"/>
        <w:rPr>
          <w:rFonts w:ascii="Montserrat" w:hAnsi="Montserrat"/>
          <w:sz w:val="20"/>
          <w:szCs w:val="20"/>
          <w:lang w:val="en-US"/>
        </w:rPr>
      </w:pPr>
    </w:p>
    <w:p w14:paraId="4D5F357B" w14:textId="77777777" w:rsidR="00CA5570" w:rsidRPr="00CA5570" w:rsidRDefault="00CA5570" w:rsidP="00CA5570">
      <w:pPr>
        <w:ind w:left="-709" w:right="-518"/>
        <w:rPr>
          <w:rFonts w:ascii="Montserrat" w:hAnsi="Montserrat"/>
          <w:b/>
          <w:bCs/>
          <w:color w:val="006B55" w:themeColor="accent1"/>
          <w:sz w:val="20"/>
          <w:szCs w:val="20"/>
          <w:lang w:val="en-US"/>
        </w:rPr>
      </w:pPr>
    </w:p>
    <w:p w14:paraId="589383FA" w14:textId="77777777" w:rsidR="00CA5570" w:rsidRPr="00CA5570" w:rsidRDefault="00CA5570" w:rsidP="00CA5570">
      <w:pPr>
        <w:ind w:left="-709" w:right="-518"/>
        <w:rPr>
          <w:rFonts w:ascii="Montserrat" w:hAnsi="Montserrat"/>
          <w:b/>
          <w:bCs/>
          <w:color w:val="006B55" w:themeColor="accent1"/>
          <w:sz w:val="20"/>
          <w:szCs w:val="20"/>
          <w:lang w:val="en-US"/>
        </w:rPr>
      </w:pPr>
      <w:r w:rsidRPr="00CA5570">
        <w:rPr>
          <w:rFonts w:ascii="Montserrat" w:hAnsi="Montserrat"/>
          <w:b/>
          <w:bCs/>
          <w:color w:val="006B55" w:themeColor="accent1"/>
          <w:sz w:val="20"/>
          <w:szCs w:val="20"/>
          <w:lang w:val="en-US"/>
        </w:rPr>
        <w:t>5.</w:t>
      </w:r>
      <w:r w:rsidRPr="00CA5570">
        <w:rPr>
          <w:rFonts w:ascii="Montserrat" w:hAnsi="Montserrat"/>
          <w:b/>
          <w:bCs/>
          <w:color w:val="006B55" w:themeColor="accent1"/>
          <w:sz w:val="20"/>
          <w:szCs w:val="20"/>
          <w:lang w:val="en-US"/>
        </w:rPr>
        <w:tab/>
        <w:t xml:space="preserve">Per page 5, number 5 states that “The RFP is inclusive for each LWDA, and one proposal is required”; however, on page 27 under Instructions, Attachments &amp; Formatting, the RFP states the bidder has the right to bid on one or both components, and a separate proposal is required for each.  If a bidder plans on bidding on both components, are one </w:t>
      </w:r>
      <w:proofErr w:type="gramStart"/>
      <w:r w:rsidRPr="00CA5570">
        <w:rPr>
          <w:rFonts w:ascii="Montserrat" w:hAnsi="Montserrat"/>
          <w:b/>
          <w:bCs/>
          <w:color w:val="006B55" w:themeColor="accent1"/>
          <w:sz w:val="20"/>
          <w:szCs w:val="20"/>
          <w:lang w:val="en-US"/>
        </w:rPr>
        <w:t>or</w:t>
      </w:r>
      <w:proofErr w:type="gramEnd"/>
      <w:r w:rsidRPr="00CA5570">
        <w:rPr>
          <w:rFonts w:ascii="Montserrat" w:hAnsi="Montserrat"/>
          <w:b/>
          <w:bCs/>
          <w:color w:val="006B55" w:themeColor="accent1"/>
          <w:sz w:val="20"/>
          <w:szCs w:val="20"/>
          <w:lang w:val="en-US"/>
        </w:rPr>
        <w:t xml:space="preserve"> two proposals required?</w:t>
      </w:r>
    </w:p>
    <w:p w14:paraId="709F5089" w14:textId="77777777" w:rsidR="00CA5570" w:rsidRPr="00CA5570" w:rsidRDefault="00CA5570" w:rsidP="00CA5570">
      <w:pPr>
        <w:ind w:left="-709" w:right="-518"/>
        <w:rPr>
          <w:rFonts w:ascii="Montserrat" w:hAnsi="Montserrat"/>
          <w:sz w:val="20"/>
          <w:szCs w:val="20"/>
          <w:lang w:val="en-US"/>
        </w:rPr>
      </w:pPr>
    </w:p>
    <w:p w14:paraId="7442574D" w14:textId="2E3AF4EC" w:rsidR="007C2210" w:rsidRPr="00706FBB" w:rsidRDefault="00CA5570" w:rsidP="00CA5570">
      <w:pPr>
        <w:ind w:left="-709" w:right="-518"/>
        <w:rPr>
          <w:rFonts w:ascii="Montserrat" w:hAnsi="Montserrat"/>
          <w:sz w:val="20"/>
          <w:szCs w:val="20"/>
          <w:lang w:val="en-US"/>
        </w:rPr>
      </w:pPr>
      <w:r w:rsidRPr="00CA5570">
        <w:rPr>
          <w:rFonts w:ascii="Montserrat" w:hAnsi="Montserrat"/>
          <w:sz w:val="20"/>
          <w:szCs w:val="20"/>
          <w:lang w:val="en-US"/>
        </w:rPr>
        <w:t>This is a single RFP for a regional One-Stop Operator, and applicants would apply to provide services for both local workforce development areas. The bidder would be required to submit a single proposal that outlines their plan to serve regionally.</w:t>
      </w:r>
    </w:p>
    <w:sectPr w:rsidR="007C2210" w:rsidRPr="00706FBB" w:rsidSect="00321E58">
      <w:headerReference w:type="even" r:id="rId6"/>
      <w:headerReference w:type="default" r:id="rId7"/>
      <w:footerReference w:type="even" r:id="rId8"/>
      <w:footerReference w:type="default" r:id="rId9"/>
      <w:headerReference w:type="first" r:id="rId10"/>
      <w:pgSz w:w="12240" w:h="15840"/>
      <w:pgMar w:top="1417" w:right="1701" w:bottom="1417" w:left="1701" w:header="708" w:footer="2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38555" w14:textId="77777777" w:rsidR="00432F7E" w:rsidRDefault="00432F7E" w:rsidP="000A010E">
      <w:r>
        <w:separator/>
      </w:r>
    </w:p>
  </w:endnote>
  <w:endnote w:type="continuationSeparator" w:id="0">
    <w:p w14:paraId="039CED02" w14:textId="77777777" w:rsidR="00432F7E" w:rsidRDefault="00432F7E" w:rsidP="000A0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9943912"/>
      <w:docPartObj>
        <w:docPartGallery w:val="Page Numbers (Bottom of Page)"/>
        <w:docPartUnique/>
      </w:docPartObj>
    </w:sdtPr>
    <w:sdtContent>
      <w:p w14:paraId="5A6391AF" w14:textId="71515209" w:rsidR="000B69F2" w:rsidRDefault="000B69F2" w:rsidP="008E10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B17CF5" w14:textId="77777777" w:rsidR="00321E58" w:rsidRDefault="00321E58" w:rsidP="000B69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Montserrat" w:hAnsi="Montserrat"/>
        <w:color w:val="006B55"/>
        <w:sz w:val="16"/>
        <w:szCs w:val="16"/>
      </w:rPr>
      <w:id w:val="164063120"/>
      <w:docPartObj>
        <w:docPartGallery w:val="Page Numbers (Bottom of Page)"/>
        <w:docPartUnique/>
      </w:docPartObj>
    </w:sdtPr>
    <w:sdtContent>
      <w:p w14:paraId="46D50486" w14:textId="35CA0AEA" w:rsidR="000B69F2" w:rsidRPr="000B69F2" w:rsidRDefault="000B69F2" w:rsidP="000C2136">
        <w:pPr>
          <w:pStyle w:val="Footer"/>
          <w:framePr w:w="226" w:wrap="none" w:vAnchor="text" w:hAnchor="page" w:x="10868" w:y="107"/>
          <w:rPr>
            <w:rStyle w:val="PageNumber"/>
            <w:rFonts w:ascii="Montserrat" w:hAnsi="Montserrat"/>
            <w:color w:val="006B55"/>
            <w:sz w:val="16"/>
            <w:szCs w:val="16"/>
          </w:rPr>
        </w:pPr>
        <w:r w:rsidRPr="000B69F2">
          <w:rPr>
            <w:rStyle w:val="PageNumber"/>
            <w:rFonts w:ascii="Montserrat" w:hAnsi="Montserrat"/>
            <w:color w:val="006B55"/>
            <w:sz w:val="16"/>
            <w:szCs w:val="16"/>
          </w:rPr>
          <w:fldChar w:fldCharType="begin"/>
        </w:r>
        <w:r w:rsidRPr="000B69F2">
          <w:rPr>
            <w:rStyle w:val="PageNumber"/>
            <w:rFonts w:ascii="Montserrat" w:hAnsi="Montserrat"/>
            <w:color w:val="006B55"/>
            <w:sz w:val="16"/>
            <w:szCs w:val="16"/>
          </w:rPr>
          <w:instrText xml:space="preserve"> PAGE </w:instrText>
        </w:r>
        <w:r w:rsidRPr="000B69F2">
          <w:rPr>
            <w:rStyle w:val="PageNumber"/>
            <w:rFonts w:ascii="Montserrat" w:hAnsi="Montserrat"/>
            <w:color w:val="006B55"/>
            <w:sz w:val="16"/>
            <w:szCs w:val="16"/>
          </w:rPr>
          <w:fldChar w:fldCharType="separate"/>
        </w:r>
        <w:r w:rsidRPr="000B69F2">
          <w:rPr>
            <w:rStyle w:val="PageNumber"/>
            <w:rFonts w:ascii="Montserrat" w:hAnsi="Montserrat"/>
            <w:noProof/>
            <w:color w:val="006B55"/>
            <w:sz w:val="16"/>
            <w:szCs w:val="16"/>
          </w:rPr>
          <w:t>1</w:t>
        </w:r>
        <w:r w:rsidRPr="000B69F2">
          <w:rPr>
            <w:rStyle w:val="PageNumber"/>
            <w:rFonts w:ascii="Montserrat" w:hAnsi="Montserrat"/>
            <w:color w:val="006B55"/>
            <w:sz w:val="16"/>
            <w:szCs w:val="16"/>
          </w:rPr>
          <w:fldChar w:fldCharType="end"/>
        </w:r>
      </w:p>
    </w:sdtContent>
  </w:sdt>
  <w:tbl>
    <w:tblPr>
      <w:tblStyle w:val="TableGrid"/>
      <w:tblW w:w="10021" w:type="dxa"/>
      <w:tblInd w:w="-670" w:type="dxa"/>
      <w:tblLook w:val="04A0" w:firstRow="1" w:lastRow="0" w:firstColumn="1" w:lastColumn="0" w:noHBand="0" w:noVBand="1"/>
    </w:tblPr>
    <w:tblGrid>
      <w:gridCol w:w="6052"/>
      <w:gridCol w:w="1984"/>
      <w:gridCol w:w="1560"/>
      <w:gridCol w:w="425"/>
    </w:tblGrid>
    <w:tr w:rsidR="000B69F2" w14:paraId="5EC52090" w14:textId="05FF3CE8" w:rsidTr="009F6A94">
      <w:trPr>
        <w:trHeight w:val="415"/>
      </w:trPr>
      <w:tc>
        <w:tcPr>
          <w:tcW w:w="6052" w:type="dxa"/>
          <w:tcBorders>
            <w:top w:val="single" w:sz="4" w:space="0" w:color="FFFFFF"/>
            <w:left w:val="single" w:sz="4" w:space="0" w:color="FFFFFF"/>
            <w:bottom w:val="single" w:sz="4" w:space="0" w:color="FFFFFF"/>
            <w:right w:val="single" w:sz="4" w:space="0" w:color="FFFFFF" w:themeColor="background1"/>
          </w:tcBorders>
          <w:tcMar>
            <w:left w:w="0" w:type="dxa"/>
            <w:right w:w="0" w:type="dxa"/>
          </w:tcMar>
          <w:vAlign w:val="center"/>
        </w:tcPr>
        <w:p w14:paraId="6DCA2758" w14:textId="6CF24C3A" w:rsidR="000B69F2" w:rsidRPr="00604CC3" w:rsidRDefault="00604CC3" w:rsidP="000B69F2">
          <w:pPr>
            <w:pStyle w:val="Footer"/>
            <w:tabs>
              <w:tab w:val="clear" w:pos="8838"/>
            </w:tabs>
            <w:ind w:right="360"/>
            <w:rPr>
              <w:rFonts w:ascii="Montserrat" w:hAnsi="Montserrat"/>
              <w:lang w:val="en-US"/>
            </w:rPr>
          </w:pPr>
          <w:r w:rsidRPr="00604CC3">
            <w:rPr>
              <w:rFonts w:ascii="Montserrat" w:hAnsi="Montserrat"/>
              <w:color w:val="FFC000"/>
              <w:sz w:val="18"/>
              <w:szCs w:val="18"/>
              <w:lang w:val="en-US"/>
            </w:rPr>
            <w:t>#</w:t>
          </w:r>
          <w:r w:rsidRPr="00E6344B">
            <w:rPr>
              <w:rFonts w:ascii="Montserrat" w:hAnsi="Montserrat"/>
              <w:color w:val="F4930E"/>
              <w:sz w:val="18"/>
              <w:szCs w:val="18"/>
              <w:lang w:val="en-US"/>
            </w:rPr>
            <w:t>theTPMAway</w:t>
          </w:r>
        </w:p>
      </w:tc>
      <w:tc>
        <w:tcPr>
          <w:tcW w:w="1984" w:type="dxa"/>
          <w:tcBorders>
            <w:top w:val="single" w:sz="4" w:space="0" w:color="FFFFFF"/>
            <w:left w:val="single" w:sz="4" w:space="0" w:color="FFFFFF" w:themeColor="background1"/>
            <w:bottom w:val="single" w:sz="4" w:space="0" w:color="FFFFFF"/>
            <w:right w:val="single" w:sz="4" w:space="0" w:color="FFFFFF"/>
          </w:tcBorders>
          <w:tcMar>
            <w:left w:w="142" w:type="dxa"/>
          </w:tcMar>
          <w:vAlign w:val="center"/>
        </w:tcPr>
        <w:p w14:paraId="7F544417" w14:textId="042E3A60" w:rsidR="000B69F2" w:rsidRDefault="000B69F2" w:rsidP="00321E58">
          <w:pPr>
            <w:pStyle w:val="Footer"/>
            <w:tabs>
              <w:tab w:val="clear" w:pos="8838"/>
            </w:tabs>
            <w:ind w:right="-518"/>
          </w:pPr>
        </w:p>
      </w:tc>
      <w:tc>
        <w:tcPr>
          <w:tcW w:w="1560" w:type="dxa"/>
          <w:tcBorders>
            <w:top w:val="single" w:sz="4" w:space="0" w:color="FFFFFF"/>
            <w:left w:val="single" w:sz="4" w:space="0" w:color="FFFFFF"/>
            <w:bottom w:val="single" w:sz="4" w:space="0" w:color="FFFFFF"/>
            <w:right w:val="single" w:sz="4" w:space="0" w:color="BFBFBF" w:themeColor="background1" w:themeShade="BF"/>
          </w:tcBorders>
          <w:tcMar>
            <w:left w:w="198" w:type="dxa"/>
          </w:tcMar>
          <w:vAlign w:val="center"/>
        </w:tcPr>
        <w:p w14:paraId="56224909" w14:textId="4DFA83E6" w:rsidR="000B69F2" w:rsidRDefault="000B69F2" w:rsidP="00321E58">
          <w:pPr>
            <w:pStyle w:val="Footer"/>
            <w:tabs>
              <w:tab w:val="clear" w:pos="8838"/>
            </w:tabs>
            <w:ind w:right="-518"/>
          </w:pPr>
        </w:p>
      </w:tc>
      <w:tc>
        <w:tcPr>
          <w:tcW w:w="425" w:type="dxa"/>
          <w:tcBorders>
            <w:top w:val="single" w:sz="4" w:space="0" w:color="FFFFFF"/>
            <w:left w:val="single" w:sz="4" w:space="0" w:color="BFBFBF" w:themeColor="background1" w:themeShade="BF"/>
            <w:bottom w:val="single" w:sz="4" w:space="0" w:color="FFFFFF"/>
            <w:right w:val="single" w:sz="4" w:space="0" w:color="FFFFFF"/>
          </w:tcBorders>
          <w:vAlign w:val="center"/>
        </w:tcPr>
        <w:p w14:paraId="2BD03513" w14:textId="2430C22F" w:rsidR="000B69F2" w:rsidRPr="00321E58" w:rsidRDefault="000B69F2" w:rsidP="00321E58">
          <w:pPr>
            <w:pStyle w:val="Footer"/>
            <w:tabs>
              <w:tab w:val="clear" w:pos="8838"/>
            </w:tabs>
            <w:ind w:right="-518"/>
            <w:rPr>
              <w:rFonts w:ascii="Montserrat" w:hAnsi="Montserrat" w:cs="Times New Roman"/>
              <w:color w:val="006B55"/>
              <w:kern w:val="0"/>
              <w:sz w:val="16"/>
              <w:szCs w:val="16"/>
              <w:lang w:val="es-MX"/>
            </w:rPr>
          </w:pPr>
        </w:p>
      </w:tc>
    </w:tr>
  </w:tbl>
  <w:p w14:paraId="792FB3BB" w14:textId="77777777" w:rsidR="00321E58" w:rsidRDefault="00321E58" w:rsidP="00321E58">
    <w:pPr>
      <w:pStyle w:val="Footer"/>
      <w:tabs>
        <w:tab w:val="clear" w:pos="8838"/>
      </w:tabs>
      <w:ind w:right="-5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2EFB1" w14:textId="77777777" w:rsidR="00432F7E" w:rsidRDefault="00432F7E" w:rsidP="000A010E">
      <w:r>
        <w:separator/>
      </w:r>
    </w:p>
  </w:footnote>
  <w:footnote w:type="continuationSeparator" w:id="0">
    <w:p w14:paraId="4F3DF495" w14:textId="77777777" w:rsidR="00432F7E" w:rsidRDefault="00432F7E" w:rsidP="000A0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0DAB7" w14:textId="66CF65BF" w:rsidR="005238B4" w:rsidRDefault="00000000">
    <w:pPr>
      <w:pStyle w:val="Header"/>
    </w:pPr>
    <w:r>
      <w:rPr>
        <w:noProof/>
      </w:rPr>
      <w:pict w14:anchorId="3D7F3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85399" o:spid="_x0000_s1027" type="#_x0000_t75" alt="" style="position:absolute;margin-left:0;margin-top:0;width:620pt;height:590pt;z-index:-251651072;mso-wrap-edited:f;mso-width-percent:0;mso-height-percent:0;mso-position-horizontal:center;mso-position-horizontal-relative:margin;mso-position-vertical:center;mso-position-vertical-relative:margin;mso-width-percent:0;mso-height-percent:0" o:allowincell="f">
          <v:imagedata r:id="rId1" o:title="TPMA_test_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714" w:type="dxa"/>
      <w:tblBorders>
        <w:top w:val="single" w:sz="4" w:space="0" w:color="01342E"/>
        <w:left w:val="single" w:sz="4" w:space="0" w:color="01342E"/>
        <w:bottom w:val="single" w:sz="4" w:space="0" w:color="01342E"/>
        <w:right w:val="single" w:sz="4" w:space="0" w:color="01342E"/>
        <w:insideH w:val="single" w:sz="4" w:space="0" w:color="01342E"/>
        <w:insideV w:val="single" w:sz="4" w:space="0" w:color="01342E"/>
      </w:tblBorders>
      <w:tblLook w:val="04A0" w:firstRow="1" w:lastRow="0" w:firstColumn="1" w:lastColumn="0" w:noHBand="0" w:noVBand="1"/>
    </w:tblPr>
    <w:tblGrid>
      <w:gridCol w:w="3403"/>
      <w:gridCol w:w="3827"/>
      <w:gridCol w:w="2693"/>
    </w:tblGrid>
    <w:tr w:rsidR="009F6A94" w:rsidRPr="004C3E41" w14:paraId="68F31FAB" w14:textId="01F15BE3" w:rsidTr="009F6A94">
      <w:trPr>
        <w:trHeight w:val="840"/>
      </w:trPr>
      <w:tc>
        <w:tcPr>
          <w:tcW w:w="34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14:paraId="4555B2B5" w14:textId="3471F4D5" w:rsidR="009F6A94" w:rsidRDefault="009F6A94">
          <w:pPr>
            <w:pStyle w:val="Header"/>
          </w:pPr>
          <w:r>
            <w:rPr>
              <w:noProof/>
            </w:rPr>
            <w:drawing>
              <wp:inline distT="0" distB="0" distL="0" distR="0" wp14:anchorId="12CA62C7" wp14:editId="572D94DF">
                <wp:extent cx="1621482" cy="57150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44338" cy="579556"/>
                        </a:xfrm>
                        <a:prstGeom prst="rect">
                          <a:avLst/>
                        </a:prstGeom>
                      </pic:spPr>
                    </pic:pic>
                  </a:graphicData>
                </a:graphic>
              </wp:inline>
            </w:drawing>
          </w:r>
        </w:p>
      </w:tc>
      <w:tc>
        <w:tcPr>
          <w:tcW w:w="3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14:paraId="5407EEDF" w14:textId="77777777" w:rsidR="004C3E41" w:rsidRPr="004C3E41" w:rsidRDefault="004C3E41" w:rsidP="00604CC3">
          <w:pPr>
            <w:autoSpaceDE w:val="0"/>
            <w:autoSpaceDN w:val="0"/>
            <w:adjustRightInd w:val="0"/>
            <w:jc w:val="right"/>
            <w:rPr>
              <w:rFonts w:ascii="Montserrat" w:hAnsi="Montserrat" w:cs="Times New Roman"/>
              <w:color w:val="006B55"/>
              <w:kern w:val="0"/>
              <w:sz w:val="16"/>
              <w:szCs w:val="16"/>
              <w:lang w:val="en-US"/>
            </w:rPr>
          </w:pPr>
          <w:r w:rsidRPr="004C3E41">
            <w:rPr>
              <w:rFonts w:ascii="Montserrat" w:hAnsi="Montserrat" w:cs="Times New Roman"/>
              <w:color w:val="006B55"/>
              <w:kern w:val="0"/>
              <w:sz w:val="16"/>
              <w:szCs w:val="16"/>
              <w:lang w:val="en-US"/>
            </w:rPr>
            <w:t>1630 N. Meridian Street</w:t>
          </w:r>
        </w:p>
        <w:p w14:paraId="4F63D5F9" w14:textId="77777777" w:rsidR="004C3E41" w:rsidRPr="004C3E41" w:rsidRDefault="004C3E41" w:rsidP="00604CC3">
          <w:pPr>
            <w:autoSpaceDE w:val="0"/>
            <w:autoSpaceDN w:val="0"/>
            <w:adjustRightInd w:val="0"/>
            <w:jc w:val="right"/>
            <w:rPr>
              <w:rFonts w:ascii="Montserrat" w:hAnsi="Montserrat" w:cs="Times New Roman"/>
              <w:color w:val="006B55"/>
              <w:kern w:val="0"/>
              <w:sz w:val="16"/>
              <w:szCs w:val="16"/>
              <w:lang w:val="en-US"/>
            </w:rPr>
          </w:pPr>
          <w:r w:rsidRPr="004C3E41">
            <w:rPr>
              <w:rFonts w:ascii="Montserrat" w:hAnsi="Montserrat" w:cs="Times New Roman"/>
              <w:color w:val="006B55"/>
              <w:kern w:val="0"/>
              <w:sz w:val="16"/>
              <w:szCs w:val="16"/>
              <w:lang w:val="en-US"/>
            </w:rPr>
            <w:t xml:space="preserve">Suite 330, Indianapolis, IN </w:t>
          </w:r>
        </w:p>
        <w:p w14:paraId="03B59A75" w14:textId="4414A00D" w:rsidR="009F6A94" w:rsidRPr="009F6A94" w:rsidRDefault="004C3E41" w:rsidP="00604CC3">
          <w:pPr>
            <w:autoSpaceDE w:val="0"/>
            <w:autoSpaceDN w:val="0"/>
            <w:adjustRightInd w:val="0"/>
            <w:jc w:val="right"/>
            <w:rPr>
              <w:rFonts w:ascii="Montserrat" w:hAnsi="Montserrat" w:cs="Times New Roman"/>
              <w:color w:val="006B55"/>
              <w:kern w:val="0"/>
              <w:sz w:val="16"/>
              <w:szCs w:val="16"/>
              <w:lang w:val="en-US"/>
            </w:rPr>
          </w:pPr>
          <w:r w:rsidRPr="004C3E41">
            <w:rPr>
              <w:rFonts w:ascii="Montserrat" w:hAnsi="Montserrat" w:cs="Times New Roman"/>
              <w:color w:val="006B55"/>
              <w:kern w:val="0"/>
              <w:sz w:val="16"/>
              <w:szCs w:val="16"/>
            </w:rPr>
            <w:t>46202</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14:paraId="2C46956A" w14:textId="77777777" w:rsidR="004C3E41" w:rsidRPr="004C3E41" w:rsidRDefault="004C3E41" w:rsidP="004C3E41">
          <w:pPr>
            <w:autoSpaceDE w:val="0"/>
            <w:autoSpaceDN w:val="0"/>
            <w:adjustRightInd w:val="0"/>
            <w:jc w:val="right"/>
            <w:rPr>
              <w:rFonts w:ascii="Montserrat" w:hAnsi="Montserrat" w:cs="Times New Roman"/>
              <w:color w:val="006B55"/>
              <w:kern w:val="0"/>
              <w:sz w:val="16"/>
              <w:szCs w:val="16"/>
              <w:lang w:val="en-US"/>
            </w:rPr>
          </w:pPr>
          <w:r w:rsidRPr="004C3E41">
            <w:rPr>
              <w:rFonts w:ascii="Montserrat" w:hAnsi="Montserrat" w:cs="Times New Roman"/>
              <w:color w:val="006B55"/>
              <w:kern w:val="0"/>
              <w:sz w:val="16"/>
              <w:szCs w:val="16"/>
              <w:lang w:val="en-US"/>
            </w:rPr>
            <w:t>www.tpma-inc.com</w:t>
          </w:r>
        </w:p>
        <w:p w14:paraId="2ADEBCAE" w14:textId="77777777" w:rsidR="004C3E41" w:rsidRPr="004C3E41" w:rsidRDefault="004C3E41" w:rsidP="004C3E41">
          <w:pPr>
            <w:autoSpaceDE w:val="0"/>
            <w:autoSpaceDN w:val="0"/>
            <w:adjustRightInd w:val="0"/>
            <w:jc w:val="right"/>
            <w:rPr>
              <w:rFonts w:ascii="Montserrat" w:hAnsi="Montserrat" w:cs="Times New Roman"/>
              <w:color w:val="006B55"/>
              <w:kern w:val="0"/>
              <w:sz w:val="16"/>
              <w:szCs w:val="16"/>
              <w:lang w:val="en-US"/>
            </w:rPr>
          </w:pPr>
          <w:r w:rsidRPr="004C3E41">
            <w:rPr>
              <w:rFonts w:ascii="Montserrat" w:hAnsi="Montserrat" w:cs="Times New Roman"/>
              <w:color w:val="006B55"/>
              <w:kern w:val="0"/>
              <w:sz w:val="16"/>
              <w:szCs w:val="16"/>
              <w:lang w:val="en-US"/>
            </w:rPr>
            <w:t>info@tpma-inc.com</w:t>
          </w:r>
        </w:p>
        <w:p w14:paraId="235ED03C" w14:textId="3DF92964" w:rsidR="009F6A94" w:rsidRPr="00706FBB" w:rsidRDefault="004C3E41" w:rsidP="004C3E41">
          <w:pPr>
            <w:autoSpaceDE w:val="0"/>
            <w:autoSpaceDN w:val="0"/>
            <w:adjustRightInd w:val="0"/>
            <w:jc w:val="right"/>
            <w:rPr>
              <w:rFonts w:ascii="Montserrat" w:hAnsi="Montserrat" w:cs="Times New Roman"/>
              <w:color w:val="006B55"/>
              <w:kern w:val="0"/>
              <w:sz w:val="16"/>
              <w:szCs w:val="16"/>
              <w:lang w:val="en-US"/>
            </w:rPr>
          </w:pPr>
          <w:r w:rsidRPr="004C3E41">
            <w:rPr>
              <w:rFonts w:ascii="Montserrat" w:hAnsi="Montserrat" w:cs="Times New Roman"/>
              <w:color w:val="006B55"/>
              <w:kern w:val="0"/>
              <w:sz w:val="16"/>
              <w:szCs w:val="16"/>
              <w:lang w:val="es-MX"/>
            </w:rPr>
            <w:t>317-894-5508</w:t>
          </w:r>
          <w:r w:rsidRPr="004C3E41">
            <w:rPr>
              <w:rFonts w:ascii="Montserrat" w:hAnsi="Montserrat" w:cs="Times New Roman"/>
              <w:color w:val="006B55"/>
              <w:kern w:val="0"/>
              <w:sz w:val="16"/>
              <w:szCs w:val="16"/>
              <w:lang w:val="en-US"/>
            </w:rPr>
            <w:t xml:space="preserve">    </w:t>
          </w:r>
        </w:p>
      </w:tc>
    </w:tr>
  </w:tbl>
  <w:p w14:paraId="1159105D" w14:textId="2542A03E" w:rsidR="000A010E" w:rsidRPr="009F6A94" w:rsidRDefault="00000000">
    <w:pPr>
      <w:pStyle w:val="Header"/>
      <w:rPr>
        <w:lang w:val="en-US"/>
      </w:rPr>
    </w:pPr>
    <w:r>
      <w:rPr>
        <w:noProof/>
        <w:lang w:val="en-US"/>
      </w:rPr>
      <w:pict w14:anchorId="080A2E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85400" o:spid="_x0000_s1026" type="#_x0000_t75" alt="" style="position:absolute;margin-left:0;margin-top:0;width:620pt;height:590pt;z-index:-251648000;mso-wrap-edited:f;mso-width-percent:0;mso-height-percent:0;mso-position-horizontal:center;mso-position-horizontal-relative:margin;mso-position-vertical:center;mso-position-vertical-relative:margin;mso-width-percent:0;mso-height-percent:0" o:allowincell="f">
          <v:imagedata r:id="rId2" o:title="TPMA_test_3" gain="19661f" blacklevel="22938f"/>
          <w10:wrap anchorx="margin" anchory="margin"/>
        </v:shape>
      </w:pict>
    </w:r>
  </w:p>
  <w:p w14:paraId="7891883E" w14:textId="6B640899" w:rsidR="00706FBB" w:rsidRPr="009F6A94" w:rsidRDefault="009F6A94" w:rsidP="00706FBB">
    <w:pPr>
      <w:pStyle w:val="Header"/>
      <w:tabs>
        <w:tab w:val="clear" w:pos="8838"/>
      </w:tabs>
      <w:ind w:left="-709" w:right="-518"/>
      <w:rPr>
        <w:lang w:val="en-US"/>
      </w:rPr>
    </w:pPr>
    <w:r>
      <w:rPr>
        <w:noProof/>
        <w:lang w:val="en-US"/>
      </w:rPr>
      <mc:AlternateContent>
        <mc:Choice Requires="wps">
          <w:drawing>
            <wp:anchor distT="0" distB="0" distL="114300" distR="114300" simplePos="0" relativeHeight="251659264" behindDoc="0" locked="0" layoutInCell="1" allowOverlap="1" wp14:anchorId="77AACA2B" wp14:editId="0EC9B3AF">
              <wp:simplePos x="0" y="0"/>
              <wp:positionH relativeFrom="column">
                <wp:posOffset>-447090</wp:posOffset>
              </wp:positionH>
              <wp:positionV relativeFrom="paragraph">
                <wp:posOffset>116596</wp:posOffset>
              </wp:positionV>
              <wp:extent cx="6291385" cy="0"/>
              <wp:effectExtent l="0" t="0" r="8255" b="12700"/>
              <wp:wrapNone/>
              <wp:docPr id="2" name="Conector recto 2"/>
              <wp:cNvGraphicFramePr/>
              <a:graphic xmlns:a="http://schemas.openxmlformats.org/drawingml/2006/main">
                <a:graphicData uri="http://schemas.microsoft.com/office/word/2010/wordprocessingShape">
                  <wps:wsp>
                    <wps:cNvCnPr/>
                    <wps:spPr>
                      <a:xfrm>
                        <a:off x="0" y="0"/>
                        <a:ext cx="6291385" cy="0"/>
                      </a:xfrm>
                      <a:prstGeom prst="line">
                        <a:avLst/>
                      </a:prstGeom>
                      <a:ln>
                        <a:solidFill>
                          <a:schemeClr val="tx2">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2F5B65"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2pt,9.2pt" to="460.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" strokecolor="#b3b4b3 [1311]" strokeweight=".5pt">
              <v:stroke joinstyle="miter"/>
            </v:line>
          </w:pict>
        </mc:Fallback>
      </mc:AlternateContent>
    </w:r>
  </w:p>
  <w:p w14:paraId="7DD0C1E8" w14:textId="77777777" w:rsidR="00706FBB" w:rsidRPr="009F6A94" w:rsidRDefault="00706F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9CE8" w14:textId="55C52898" w:rsidR="005238B4" w:rsidRDefault="00000000">
    <w:pPr>
      <w:pStyle w:val="Header"/>
    </w:pPr>
    <w:r>
      <w:rPr>
        <w:noProof/>
      </w:rPr>
      <w:pict w14:anchorId="07B322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85398" o:spid="_x0000_s1025" type="#_x0000_t75" alt="" style="position:absolute;margin-left:0;margin-top:0;width:620pt;height:590pt;z-index:-251654144;mso-wrap-edited:f;mso-width-percent:0;mso-height-percent:0;mso-position-horizontal:center;mso-position-horizontal-relative:margin;mso-position-vertical:center;mso-position-vertical-relative:margin;mso-width-percent:0;mso-height-percent:0" o:allowincell="f">
          <v:imagedata r:id="rId1" o:title="TPMA_test_3"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E92"/>
    <w:rsid w:val="00060FF3"/>
    <w:rsid w:val="000A010E"/>
    <w:rsid w:val="000B69F2"/>
    <w:rsid w:val="000C2136"/>
    <w:rsid w:val="001F0E92"/>
    <w:rsid w:val="00321E58"/>
    <w:rsid w:val="003B153D"/>
    <w:rsid w:val="00432F7E"/>
    <w:rsid w:val="0045287A"/>
    <w:rsid w:val="004C3E41"/>
    <w:rsid w:val="005238B4"/>
    <w:rsid w:val="00604CC3"/>
    <w:rsid w:val="006267C6"/>
    <w:rsid w:val="00706FBB"/>
    <w:rsid w:val="00726671"/>
    <w:rsid w:val="007C2210"/>
    <w:rsid w:val="00947162"/>
    <w:rsid w:val="009F6A94"/>
    <w:rsid w:val="00A35A8B"/>
    <w:rsid w:val="00A7771D"/>
    <w:rsid w:val="00B6433B"/>
    <w:rsid w:val="00CA5570"/>
    <w:rsid w:val="00E6344B"/>
    <w:rsid w:val="00E97C89"/>
    <w:rsid w:val="00EF7CCE"/>
    <w:rsid w:val="00FA7BA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6DB15"/>
  <w15:chartTrackingRefBased/>
  <w15:docId w15:val="{2E635332-67F3-4E4D-A985-4042BB3C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010E"/>
    <w:pPr>
      <w:keepNext/>
      <w:keepLines/>
      <w:spacing w:before="240"/>
      <w:outlineLvl w:val="0"/>
    </w:pPr>
    <w:rPr>
      <w:rFonts w:asciiTheme="majorHAnsi" w:eastAsiaTheme="majorEastAsia" w:hAnsiTheme="majorHAnsi" w:cstheme="majorBidi"/>
      <w:color w:val="00503F"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10E"/>
    <w:rPr>
      <w:rFonts w:asciiTheme="majorHAnsi" w:eastAsiaTheme="majorEastAsia" w:hAnsiTheme="majorHAnsi" w:cstheme="majorBidi"/>
      <w:color w:val="00503F" w:themeColor="accent1" w:themeShade="BF"/>
      <w:sz w:val="32"/>
      <w:szCs w:val="32"/>
    </w:rPr>
  </w:style>
  <w:style w:type="paragraph" w:styleId="Header">
    <w:name w:val="header"/>
    <w:basedOn w:val="Normal"/>
    <w:link w:val="HeaderChar"/>
    <w:uiPriority w:val="99"/>
    <w:unhideWhenUsed/>
    <w:rsid w:val="000A010E"/>
    <w:pPr>
      <w:tabs>
        <w:tab w:val="center" w:pos="4419"/>
        <w:tab w:val="right" w:pos="8838"/>
      </w:tabs>
    </w:pPr>
  </w:style>
  <w:style w:type="character" w:customStyle="1" w:styleId="HeaderChar">
    <w:name w:val="Header Char"/>
    <w:basedOn w:val="DefaultParagraphFont"/>
    <w:link w:val="Header"/>
    <w:uiPriority w:val="99"/>
    <w:rsid w:val="000A010E"/>
  </w:style>
  <w:style w:type="paragraph" w:styleId="Footer">
    <w:name w:val="footer"/>
    <w:basedOn w:val="Normal"/>
    <w:link w:val="FooterChar"/>
    <w:uiPriority w:val="99"/>
    <w:unhideWhenUsed/>
    <w:rsid w:val="000A010E"/>
    <w:pPr>
      <w:tabs>
        <w:tab w:val="center" w:pos="4419"/>
        <w:tab w:val="right" w:pos="8838"/>
      </w:tabs>
    </w:pPr>
  </w:style>
  <w:style w:type="character" w:customStyle="1" w:styleId="FooterChar">
    <w:name w:val="Footer Char"/>
    <w:basedOn w:val="DefaultParagraphFont"/>
    <w:link w:val="Footer"/>
    <w:uiPriority w:val="99"/>
    <w:rsid w:val="000A010E"/>
  </w:style>
  <w:style w:type="table" w:styleId="TableGrid">
    <w:name w:val="Table Grid"/>
    <w:basedOn w:val="TableNormal"/>
    <w:uiPriority w:val="39"/>
    <w:rsid w:val="000A0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B69F2"/>
  </w:style>
  <w:style w:type="character" w:styleId="Hyperlink">
    <w:name w:val="Hyperlink"/>
    <w:basedOn w:val="DefaultParagraphFont"/>
    <w:uiPriority w:val="99"/>
    <w:unhideWhenUsed/>
    <w:rsid w:val="000C2136"/>
    <w:rPr>
      <w:color w:val="C9D833" w:themeColor="hyperlink"/>
      <w:u w:val="single"/>
    </w:rPr>
  </w:style>
  <w:style w:type="character" w:styleId="UnresolvedMention">
    <w:name w:val="Unresolved Mention"/>
    <w:basedOn w:val="DefaultParagraphFont"/>
    <w:uiPriority w:val="99"/>
    <w:semiHidden/>
    <w:unhideWhenUsed/>
    <w:rsid w:val="000C2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23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PMA">
      <a:dk1>
        <a:srgbClr val="000000"/>
      </a:dk1>
      <a:lt1>
        <a:srgbClr val="FFFFFF"/>
      </a:lt1>
      <a:dk2>
        <a:srgbClr val="434443"/>
      </a:dk2>
      <a:lt2>
        <a:srgbClr val="F3F5F3"/>
      </a:lt2>
      <a:accent1>
        <a:srgbClr val="006B55"/>
      </a:accent1>
      <a:accent2>
        <a:srgbClr val="01342E"/>
      </a:accent2>
      <a:accent3>
        <a:srgbClr val="1B7FF0"/>
      </a:accent3>
      <a:accent4>
        <a:srgbClr val="4F7889"/>
      </a:accent4>
      <a:accent5>
        <a:srgbClr val="50A64D"/>
      </a:accent5>
      <a:accent6>
        <a:srgbClr val="8DC63F"/>
      </a:accent6>
      <a:hlink>
        <a:srgbClr val="C9D833"/>
      </a:hlink>
      <a:folHlink>
        <a:srgbClr val="F3930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398</Words>
  <Characters>2275</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Narváez</dc:creator>
  <cp:keywords/>
  <dc:description/>
  <cp:lastModifiedBy>Steven Gause</cp:lastModifiedBy>
  <cp:revision>2</cp:revision>
  <dcterms:created xsi:type="dcterms:W3CDTF">2023-05-08T03:11:00Z</dcterms:created>
  <dcterms:modified xsi:type="dcterms:W3CDTF">2023-05-08T03:11:00Z</dcterms:modified>
</cp:coreProperties>
</file>